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2869"/>
        <w:gridCol w:w="4728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</w:pPr>
            <w:r>
              <w:t>评审</w:t>
            </w:r>
          </w:p>
          <w:p>
            <w:pPr>
              <w:jc w:val="center"/>
            </w:pPr>
            <w:r>
              <w:t>因素</w:t>
            </w:r>
          </w:p>
        </w:tc>
        <w:tc>
          <w:tcPr>
            <w:tcW w:w="7597" w:type="dxa"/>
            <w:gridSpan w:val="2"/>
          </w:tcPr>
          <w:p>
            <w:pPr>
              <w:jc w:val="center"/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供应商</w:t>
            </w:r>
            <w:bookmarkStart w:id="0" w:name="_GoBack"/>
            <w:bookmarkEnd w:id="0"/>
            <w:r>
              <w:rPr>
                <w:sz w:val="32"/>
                <w:szCs w:val="40"/>
              </w:rPr>
              <w:t>评审标准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</w:pPr>
            <w:r>
              <w:t>分值</w:t>
            </w:r>
          </w:p>
          <w:p>
            <w:pPr>
              <w:jc w:val="center"/>
            </w:pPr>
            <w:r>
              <w:t>构成</w:t>
            </w:r>
          </w:p>
        </w:tc>
        <w:tc>
          <w:tcPr>
            <w:tcW w:w="7597" w:type="dxa"/>
            <w:gridSpan w:val="2"/>
          </w:tcPr>
          <w:p>
            <w:r>
              <w:t>商务部分10分</w:t>
            </w:r>
          </w:p>
          <w:p>
            <w:r>
              <w:t>技术部分60分</w:t>
            </w:r>
          </w:p>
          <w:p>
            <w:r>
              <w:t>报价得分30分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Merge w:val="restart"/>
          </w:tcPr>
          <w:p>
            <w:pPr>
              <w:jc w:val="center"/>
            </w:pPr>
            <w:r>
              <w:t>技术</w:t>
            </w:r>
          </w:p>
          <w:p>
            <w:pPr>
              <w:jc w:val="center"/>
            </w:pPr>
            <w:r>
              <w:t>部分</w:t>
            </w:r>
          </w:p>
        </w:tc>
        <w:tc>
          <w:tcPr>
            <w:tcW w:w="2869" w:type="dxa"/>
          </w:tcPr>
          <w:p>
            <w:pPr>
              <w:jc w:val="left"/>
            </w:pPr>
            <w:r>
              <w:t>技术响应程度 (16分)</w:t>
            </w:r>
          </w:p>
        </w:tc>
        <w:tc>
          <w:tcPr>
            <w:tcW w:w="4728" w:type="dxa"/>
          </w:tcPr>
          <w:p>
            <w:pPr>
              <w:jc w:val="left"/>
            </w:pPr>
            <w:r>
              <w:t xml:space="preserve">带“▲”的指标每负偏离一项扣1分，最低扣至0分。 </w:t>
            </w:r>
          </w:p>
          <w:p>
            <w:pPr>
              <w:jc w:val="left"/>
            </w:pPr>
            <w:r>
              <w:t>注：按采购需求要求提供相关证明资料。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Merge w:val="continue"/>
          </w:tcPr>
          <w:p/>
        </w:tc>
        <w:tc>
          <w:tcPr>
            <w:tcW w:w="2869" w:type="dxa"/>
          </w:tcPr>
          <w:p>
            <w:pPr>
              <w:jc w:val="left"/>
            </w:pPr>
            <w:r>
              <w:t>质量保证服务方案 (15分)，（等次分值选择：0;5;10;15;）</w:t>
            </w:r>
          </w:p>
        </w:tc>
        <w:tc>
          <w:tcPr>
            <w:tcW w:w="4728" w:type="dxa"/>
          </w:tcPr>
          <w:p>
            <w:pPr>
              <w:ind w:firstLine="420" w:firstLineChars="200"/>
              <w:jc w:val="left"/>
            </w:pPr>
            <w:r>
              <w:t xml:space="preserve">提供针对本项目的质量管理措施，至少包括质量管理目标、质量控制过程所使用的方法、质量管理的纠偏措施、风险预防和应对措施等进行评审： </w:t>
            </w:r>
          </w:p>
          <w:p>
            <w:pPr>
              <w:jc w:val="left"/>
            </w:pPr>
            <w:r>
              <w:t xml:space="preserve">（1）质量目标清晰明确，质量控制措施合理可行，质量保证体系系统科学、保证措施严谨规范，质量保障管理及制度权责分明、体系完整，质量保证方案各项内容均具备，并能根据项目性质或采购需求提供增值服务，完全满足或优于采购需求，得15分； </w:t>
            </w:r>
          </w:p>
          <w:p>
            <w:pPr>
              <w:numPr>
                <w:ilvl w:val="0"/>
                <w:numId w:val="1"/>
              </w:numPr>
              <w:jc w:val="left"/>
            </w:pPr>
            <w:r>
              <w:t>质量目标明确，质量控制措施合理可行，质量保证体系及保证措施规范，质量保障管理及制度权责分明，质量保证方案各项内容均具备，满足采购需求，但未能根据项目性质或采购需求提供增值服务或服务不完善</w:t>
            </w:r>
            <w:r>
              <w:rPr>
                <w:rFonts w:hint="eastAsia"/>
                <w:lang w:val="en-US" w:eastAsia="zh-CN"/>
              </w:rPr>
              <w:t>的</w:t>
            </w:r>
            <w:r>
              <w:t>，得10分；</w:t>
            </w:r>
          </w:p>
          <w:p>
            <w:pPr>
              <w:numPr>
                <w:numId w:val="0"/>
              </w:numPr>
              <w:jc w:val="left"/>
            </w:pPr>
            <w:r>
              <w:t xml:space="preserve">（3）质量目标不明确，或质量控制措施、质量保证体系及保证措施和质量保障管理及制度方案不合理不可行，或质量保证方案部分内容有缺漏，或未能根据项目性质或采购需求提出合理可行的建议，部分满足采购需求，得5分； </w:t>
            </w:r>
          </w:p>
          <w:p>
            <w:pPr>
              <w:numPr>
                <w:numId w:val="0"/>
              </w:numPr>
              <w:jc w:val="left"/>
            </w:pPr>
            <w:r>
              <w:t>（4）其他情况或不提供不得分。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Merge w:val="continue"/>
          </w:tcPr>
          <w:p/>
        </w:tc>
        <w:tc>
          <w:tcPr>
            <w:tcW w:w="2869" w:type="dxa"/>
          </w:tcPr>
          <w:p>
            <w:pPr>
              <w:jc w:val="left"/>
            </w:pPr>
            <w:r>
              <w:t>供货组织方案 (8分)，</w:t>
            </w:r>
          </w:p>
          <w:p>
            <w:pPr>
              <w:jc w:val="left"/>
            </w:pPr>
            <w:r>
              <w:t>（等次分值选择：0;2;5;8;）</w:t>
            </w:r>
          </w:p>
        </w:tc>
        <w:tc>
          <w:tcPr>
            <w:tcW w:w="4728" w:type="dxa"/>
          </w:tcPr>
          <w:p>
            <w:pPr>
              <w:ind w:firstLine="420" w:firstLineChars="200"/>
              <w:jc w:val="left"/>
            </w:pPr>
            <w:r>
              <w:t xml:space="preserve">根据投标人针对本项目采购需求所拟定的供货服务方案（包括保障措施、包装运输、进度计划等内容）进行评审： </w:t>
            </w:r>
          </w:p>
          <w:p>
            <w:pPr>
              <w:numPr>
                <w:ilvl w:val="0"/>
                <w:numId w:val="2"/>
              </w:numPr>
              <w:jc w:val="left"/>
            </w:pPr>
            <w:r>
              <w:t xml:space="preserve">供货方案详细完整有针对性，保障措施切实可行，包装运输方案详尽、合理周全，进度计划合理可行的，得8分； 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left"/>
            </w:pPr>
            <w:r>
              <w:t xml:space="preserve">供货方案较为详细完整，保障措施比较切实可行，包装运输方案比较详尽、合理得当，进度计划基本合理的，得5分； 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left"/>
            </w:pPr>
            <w:r>
              <w:t xml:space="preserve">供货方案一般，保障措施缺乏切实可行性，包装运输方案简单，进度计划缺 乏合理性的，得2分； </w:t>
            </w:r>
          </w:p>
          <w:p>
            <w:pPr>
              <w:numPr>
                <w:numId w:val="0"/>
              </w:numPr>
              <w:ind w:leftChars="0"/>
              <w:jc w:val="left"/>
            </w:pPr>
            <w:r>
              <w:t>（4）其他情况或不提供不得分。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Merge w:val="continue"/>
          </w:tcPr>
          <w:p/>
        </w:tc>
        <w:tc>
          <w:tcPr>
            <w:tcW w:w="2869" w:type="dxa"/>
          </w:tcPr>
          <w:p>
            <w:pPr>
              <w:jc w:val="left"/>
            </w:pPr>
            <w:r>
              <w:t>售后服务方案 (6分)，</w:t>
            </w:r>
          </w:p>
          <w:p>
            <w:pPr>
              <w:jc w:val="left"/>
            </w:pPr>
            <w:r>
              <w:t>（等次分值选择：0;2;4;6;）</w:t>
            </w:r>
          </w:p>
        </w:tc>
        <w:tc>
          <w:tcPr>
            <w:tcW w:w="4728" w:type="dxa"/>
          </w:tcPr>
          <w:p>
            <w:pPr>
              <w:ind w:firstLine="420" w:firstLineChars="200"/>
              <w:jc w:val="left"/>
            </w:pPr>
            <w:r>
              <w:t xml:space="preserve">根据投标人针对本项目的售后服务承诺（包括售前、售中和售后服务方案、交付使用时间、质保期、响应时间、维护方案等）及售后服务体系制定相关方案进行综合评审： </w:t>
            </w:r>
          </w:p>
          <w:p>
            <w:pPr>
              <w:numPr>
                <w:ilvl w:val="0"/>
                <w:numId w:val="3"/>
              </w:numPr>
              <w:jc w:val="left"/>
            </w:pPr>
            <w:r>
              <w:t>售后服务计划及承诺详细，售后服务便利，各项售后体系都有体现且并优于招标文件要求6分；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jc w:val="left"/>
            </w:pPr>
            <w:r>
              <w:t>售后服务计划及承诺详细，售后服务便利，满足招标文件要求4分；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jc w:val="left"/>
            </w:pPr>
            <w:r>
              <w:t xml:space="preserve">售后服务计划较差，低于招标文件要求2分； </w:t>
            </w:r>
          </w:p>
          <w:p>
            <w:pPr>
              <w:numPr>
                <w:numId w:val="0"/>
              </w:numPr>
              <w:ind w:leftChars="0"/>
              <w:jc w:val="left"/>
            </w:pPr>
            <w:r>
              <w:t>（4）其他情况或不提供不得分。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Merge w:val="continue"/>
          </w:tcPr>
          <w:p/>
        </w:tc>
        <w:tc>
          <w:tcPr>
            <w:tcW w:w="2869" w:type="dxa"/>
          </w:tcPr>
          <w:p>
            <w:pPr>
              <w:jc w:val="left"/>
            </w:pPr>
            <w:r>
              <w:t>样品评审 (15分)，</w:t>
            </w:r>
          </w:p>
          <w:p>
            <w:pPr>
              <w:jc w:val="left"/>
            </w:pPr>
            <w:r>
              <w:t>（等次分值选择：0;5;10;15;）</w:t>
            </w:r>
          </w:p>
        </w:tc>
        <w:tc>
          <w:tcPr>
            <w:tcW w:w="4728" w:type="dxa"/>
          </w:tcPr>
          <w:p>
            <w:pPr>
              <w:ind w:firstLine="420" w:firstLineChars="200"/>
              <w:jc w:val="left"/>
            </w:pPr>
            <w:r>
              <w:t>对提供的样品外观、材料、工艺、专业性功能设计符合</w:t>
            </w:r>
            <w:r>
              <w:rPr>
                <w:rFonts w:hint="eastAsia"/>
                <w:lang w:val="en-US" w:eastAsia="zh-CN"/>
              </w:rPr>
              <w:t>企业形象</w:t>
            </w:r>
            <w:r>
              <w:t xml:space="preserve">及采购需求书整体的响应程度进行综合评审： </w:t>
            </w:r>
          </w:p>
          <w:p>
            <w:pPr>
              <w:numPr>
                <w:ilvl w:val="0"/>
                <w:numId w:val="4"/>
              </w:numPr>
              <w:jc w:val="left"/>
            </w:pPr>
            <w:r>
              <w:t xml:space="preserve">外形外观、材料工艺好，专业性功能设计专业且符合程度高的，得15分； 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jc w:val="left"/>
            </w:pPr>
            <w:r>
              <w:t>外形外观、材料工艺较好，专业性功能设计符合</w:t>
            </w:r>
            <w:r>
              <w:rPr>
                <w:rFonts w:hint="eastAsia"/>
                <w:lang w:val="en-US" w:eastAsia="zh-CN"/>
              </w:rPr>
              <w:t>企业形象</w:t>
            </w:r>
            <w:r>
              <w:t xml:space="preserve">要求与采购需求符合程度较高，得10分； 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jc w:val="left"/>
            </w:pPr>
            <w:r>
              <w:t xml:space="preserve">外形外观、材料工艺一般，专业性功能设计一般，与采购需求符合程度有偏差的，得5分； </w:t>
            </w:r>
          </w:p>
          <w:p>
            <w:pPr>
              <w:numPr>
                <w:numId w:val="0"/>
              </w:numPr>
              <w:ind w:leftChars="0"/>
              <w:jc w:val="left"/>
            </w:pPr>
            <w:r>
              <w:t>（4）未按照要求提供样品或不提供样品不得分。 注：须提供实物样品做为评审依据。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Merge w:val="restart"/>
          </w:tcPr>
          <w:p>
            <w:pPr>
              <w:jc w:val="center"/>
            </w:pPr>
            <w:r>
              <w:t>商务</w:t>
            </w:r>
          </w:p>
          <w:p>
            <w:pPr>
              <w:jc w:val="center"/>
            </w:pPr>
            <w:r>
              <w:t>部分</w:t>
            </w:r>
          </w:p>
        </w:tc>
        <w:tc>
          <w:tcPr>
            <w:tcW w:w="2869" w:type="dxa"/>
          </w:tcPr>
          <w:p>
            <w:pPr>
              <w:jc w:val="left"/>
            </w:pPr>
            <w:r>
              <w:t>体系认证证书 (3分)，</w:t>
            </w:r>
          </w:p>
          <w:p>
            <w:pPr>
              <w:jc w:val="left"/>
            </w:pPr>
            <w:r>
              <w:t>（等次分值选择：0;1;2;3;）</w:t>
            </w:r>
          </w:p>
        </w:tc>
        <w:tc>
          <w:tcPr>
            <w:tcW w:w="4728" w:type="dxa"/>
          </w:tcPr>
          <w:p>
            <w:pPr>
              <w:jc w:val="left"/>
            </w:pPr>
            <w:r>
              <w:t xml:space="preserve">投标人或投标产品制造商，具有有效的职业健康安全管理体系认证证书，质量管理体系认证证书，环境管理体系认证证书；每提供1项得1分，最高得3分。  </w:t>
            </w:r>
          </w:p>
          <w:p>
            <w:pPr>
              <w:jc w:val="left"/>
            </w:pPr>
            <w:r>
              <w:t>注：须提供证书复印件并加盖单位公章。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Merge w:val="continue"/>
          </w:tcPr>
          <w:p/>
        </w:tc>
        <w:tc>
          <w:tcPr>
            <w:tcW w:w="2869" w:type="dxa"/>
          </w:tcPr>
          <w:p>
            <w:pPr>
              <w:jc w:val="left"/>
            </w:pPr>
            <w:r>
              <w:t>同类产品业绩 (7分)，</w:t>
            </w:r>
          </w:p>
          <w:p>
            <w:pPr>
              <w:jc w:val="left"/>
            </w:pPr>
            <w:r>
              <w:t>（等次分值选择：0;1;2;3;4;5;6;7;）</w:t>
            </w:r>
          </w:p>
        </w:tc>
        <w:tc>
          <w:tcPr>
            <w:tcW w:w="4728" w:type="dxa"/>
          </w:tcPr>
          <w:p>
            <w:pPr>
              <w:jc w:val="left"/>
            </w:pPr>
            <w:r>
              <w:t xml:space="preserve">投标人或投标产品制造商，2020年1月1日至今具有同类产品业绩，每提供1项得1分，最高得7分。 </w:t>
            </w:r>
          </w:p>
          <w:p>
            <w:pPr>
              <w:jc w:val="left"/>
            </w:pPr>
            <w:r>
              <w:t xml:space="preserve"> 注：需提供中标（成交）通知书及业绩合同关键页（包括采购内容、采购金额、签约日期、双方盖章）复印件并加盖单位公章，时间以合同签订日期为准，未按上述要求提供证明材料的业绩不得分。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jc w:val="center"/>
            </w:pPr>
            <w:r>
              <w:t>投标</w:t>
            </w:r>
          </w:p>
          <w:p>
            <w:pPr>
              <w:jc w:val="center"/>
            </w:pPr>
            <w:r>
              <w:t>报价</w:t>
            </w:r>
          </w:p>
        </w:tc>
        <w:tc>
          <w:tcPr>
            <w:tcW w:w="2869" w:type="dxa"/>
          </w:tcPr>
          <w:p>
            <w:pPr>
              <w:jc w:val="left"/>
            </w:pPr>
            <w:r>
              <w:t>投标报价得分 (30分)</w:t>
            </w:r>
          </w:p>
        </w:tc>
        <w:tc>
          <w:tcPr>
            <w:tcW w:w="4728" w:type="dxa"/>
          </w:tcPr>
          <w:p>
            <w:pPr>
              <w:jc w:val="left"/>
            </w:pPr>
            <w:r>
              <w:t>投标报价得分＝（评标基准价/投标报价）×价格分值</w:t>
            </w:r>
          </w:p>
          <w:p>
            <w:pPr>
              <w:jc w:val="left"/>
            </w:pPr>
            <w:r>
              <w:t>（注：满足招标文件要求且投标价格最低的投标报价为评标基准价。）最低报价不是中标的唯一依据。</w:t>
            </w:r>
            <w:r>
              <w:rPr>
                <w:rFonts w:hint="eastAsia"/>
                <w:lang w:val="en-US" w:eastAsia="zh-CN"/>
              </w:rPr>
              <w:t>以落实企业</w:t>
            </w:r>
            <w:r>
              <w:t>采购政策进行价格调整的，以调整后的价格计算评标基准价和投标报价。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35FD94"/>
    <w:multiLevelType w:val="singleLevel"/>
    <w:tmpl w:val="C235FD9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3B093067"/>
    <w:multiLevelType w:val="singleLevel"/>
    <w:tmpl w:val="3B093067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48CAE49A"/>
    <w:multiLevelType w:val="singleLevel"/>
    <w:tmpl w:val="48CAE49A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658F9AC0"/>
    <w:multiLevelType w:val="singleLevel"/>
    <w:tmpl w:val="658F9AC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MmI5ZWI4NDYzYjUyMWU0YjBlMzdmODk0ZjY0NzAifQ=="/>
  </w:docVars>
  <w:rsids>
    <w:rsidRoot w:val="164C6BED"/>
    <w:rsid w:val="01FA781A"/>
    <w:rsid w:val="164C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2023-12-07T01:37:00Z</dcterms:created>
  <dc:creator>12.6评审会</dc:creator>
  <cp:lastModifiedBy>张芷敏</cp:lastModifiedBy>
  <dcterms:modified xsi:type="dcterms:W3CDTF">2023-12-07T13:35:46Z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E9491E3D17C64C7AA9F41ACD7034B888_13</vt:lpwstr>
  </property>
</Properties>
</file>