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sz w:val="32"/>
          <w:szCs w:val="32"/>
        </w:rPr>
      </w:pPr>
      <w:r>
        <w:rPr>
          <w:rFonts w:hint="eastAsia" w:ascii="方正小标宋简体" w:eastAsia="方正小标宋简体"/>
          <w:sz w:val="36"/>
          <w:szCs w:val="36"/>
        </w:rPr>
        <w:t>关于《茂名滨海新区国家级沿海渔港经济区茂名博贺渔港经济区一期工程项目工程质量检测》招标代理服务公开遴选的公告</w:t>
      </w:r>
    </w:p>
    <w:p>
      <w:pPr>
        <w:spacing w:line="600" w:lineRule="exact"/>
        <w:rPr>
          <w:rFonts w:ascii="仿宋_GB2312" w:eastAsia="仿宋_GB2312"/>
          <w:sz w:val="24"/>
          <w:szCs w:val="24"/>
        </w:rPr>
      </w:pPr>
      <w:r>
        <w:rPr>
          <w:rFonts w:hint="eastAsia" w:ascii="仿宋_GB2312" w:eastAsia="仿宋_GB2312"/>
          <w:sz w:val="24"/>
          <w:szCs w:val="24"/>
        </w:rPr>
        <w:t>各单位：</w:t>
      </w:r>
    </w:p>
    <w:p>
      <w:pPr>
        <w:spacing w:line="600" w:lineRule="exact"/>
        <w:ind w:firstLine="480" w:firstLineChars="200"/>
        <w:jc w:val="left"/>
        <w:rPr>
          <w:rFonts w:hint="default" w:ascii="仿宋_GB2312" w:eastAsia="仿宋_GB2312"/>
          <w:sz w:val="24"/>
          <w:szCs w:val="24"/>
          <w:lang w:val="en-US" w:eastAsia="zh-CN"/>
        </w:rPr>
      </w:pPr>
      <w:r>
        <w:rPr>
          <w:rFonts w:hint="eastAsia" w:ascii="仿宋_GB2312" w:eastAsia="仿宋_GB2312"/>
          <w:sz w:val="24"/>
          <w:szCs w:val="24"/>
        </w:rPr>
        <w:t>现我司有《茂名滨海新区国家级沿海渔港经济区茂名博贺渔港经济区一期工程项目工程质量检测》需要开展采购工作，业主单位为茂名滨海发展集团有限公司。为做好招标流程，现阶段公开向社</w:t>
      </w:r>
      <w:r>
        <w:rPr>
          <w:rFonts w:hint="eastAsia" w:ascii="仿宋_GB2312" w:eastAsia="仿宋_GB2312"/>
          <w:sz w:val="24"/>
          <w:szCs w:val="24"/>
          <w:lang w:val="en-US" w:eastAsia="zh-CN"/>
        </w:rPr>
        <w:t>会遴选一家招标代理服务单位；工作内容包括编制招标文件、组织开标和评标等工作。</w:t>
      </w:r>
    </w:p>
    <w:p>
      <w:pPr>
        <w:spacing w:line="600" w:lineRule="exact"/>
        <w:ind w:firstLine="480" w:firstLineChars="200"/>
        <w:jc w:val="left"/>
        <w:rPr>
          <w:rFonts w:ascii="方正小标宋简体" w:eastAsia="方正小标宋简体"/>
          <w:sz w:val="28"/>
          <w:szCs w:val="28"/>
        </w:rPr>
      </w:pPr>
      <w:r>
        <w:rPr>
          <w:rFonts w:hint="eastAsia" w:ascii="仿宋_GB2312" w:eastAsia="仿宋_GB2312"/>
          <w:sz w:val="24"/>
          <w:szCs w:val="24"/>
        </w:rPr>
        <w:t>请各意向单位提供相应的资料，并于</w:t>
      </w:r>
      <w:r>
        <w:rPr>
          <w:rFonts w:ascii="仿宋_GB2312" w:eastAsia="仿宋_GB2312"/>
          <w:sz w:val="24"/>
          <w:szCs w:val="24"/>
        </w:rPr>
        <w:t>20</w:t>
      </w:r>
      <w:r>
        <w:rPr>
          <w:rFonts w:hint="eastAsia" w:ascii="仿宋_GB2312" w:eastAsia="仿宋_GB2312"/>
          <w:sz w:val="24"/>
          <w:szCs w:val="24"/>
        </w:rPr>
        <w:t>24</w:t>
      </w:r>
      <w:r>
        <w:rPr>
          <w:rFonts w:ascii="仿宋_GB2312" w:eastAsia="仿宋_GB2312"/>
          <w:sz w:val="24"/>
          <w:szCs w:val="24"/>
        </w:rPr>
        <w:t>年</w:t>
      </w:r>
      <w:r>
        <w:rPr>
          <w:rFonts w:hint="eastAsia" w:ascii="仿宋_GB2312" w:eastAsia="仿宋_GB2312"/>
          <w:sz w:val="24"/>
          <w:szCs w:val="24"/>
        </w:rPr>
        <w:t>1</w:t>
      </w:r>
      <w:r>
        <w:rPr>
          <w:rFonts w:ascii="仿宋_GB2312" w:eastAsia="仿宋_GB2312"/>
          <w:sz w:val="24"/>
          <w:szCs w:val="24"/>
        </w:rPr>
        <w:t>月</w:t>
      </w:r>
      <w:r>
        <w:rPr>
          <w:rFonts w:hint="eastAsia" w:ascii="仿宋_GB2312" w:eastAsia="仿宋_GB2312"/>
          <w:sz w:val="24"/>
          <w:szCs w:val="24"/>
          <w:lang w:val="en-US" w:eastAsia="zh-CN"/>
        </w:rPr>
        <w:t>16</w:t>
      </w:r>
      <w:r>
        <w:rPr>
          <w:rFonts w:ascii="仿宋_GB2312" w:eastAsia="仿宋_GB2312"/>
          <w:sz w:val="24"/>
          <w:szCs w:val="24"/>
        </w:rPr>
        <w:t>日</w:t>
      </w:r>
      <w:r>
        <w:rPr>
          <w:rFonts w:hint="eastAsia" w:ascii="仿宋_GB2312" w:eastAsia="仿宋_GB2312"/>
          <w:sz w:val="24"/>
          <w:szCs w:val="24"/>
        </w:rPr>
        <w:t>1</w:t>
      </w:r>
      <w:r>
        <w:rPr>
          <w:rFonts w:ascii="仿宋_GB2312" w:eastAsia="仿宋_GB2312"/>
          <w:sz w:val="24"/>
          <w:szCs w:val="24"/>
        </w:rPr>
        <w:t>7点前送达</w:t>
      </w:r>
      <w:r>
        <w:rPr>
          <w:rFonts w:hint="eastAsia" w:ascii="仿宋_GB2312" w:eastAsia="仿宋_GB2312"/>
          <w:sz w:val="24"/>
          <w:szCs w:val="24"/>
        </w:rPr>
        <w:t>我司</w:t>
      </w:r>
      <w:r>
        <w:rPr>
          <w:rFonts w:ascii="仿宋_GB2312" w:eastAsia="仿宋_GB2312"/>
          <w:sz w:val="24"/>
          <w:szCs w:val="24"/>
        </w:rPr>
        <w:t>邮箱，邮箱地址323431302</w:t>
      </w:r>
      <w:r>
        <w:rPr>
          <w:rFonts w:hint="eastAsia" w:ascii="仿宋_GB2312" w:eastAsia="仿宋_GB2312"/>
          <w:sz w:val="24"/>
          <w:szCs w:val="24"/>
        </w:rPr>
        <w:t>@</w:t>
      </w:r>
      <w:r>
        <w:rPr>
          <w:rFonts w:ascii="仿宋_GB2312" w:eastAsia="仿宋_GB2312"/>
          <w:sz w:val="24"/>
          <w:szCs w:val="24"/>
        </w:rPr>
        <w:t>qq.com。</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特此公告。</w:t>
      </w:r>
    </w:p>
    <w:p>
      <w:pPr>
        <w:spacing w:line="600" w:lineRule="exact"/>
        <w:rPr>
          <w:rFonts w:ascii="仿宋_GB2312" w:eastAsia="仿宋_GB2312"/>
          <w:sz w:val="24"/>
          <w:szCs w:val="24"/>
        </w:rPr>
      </w:pPr>
    </w:p>
    <w:p>
      <w:pPr>
        <w:spacing w:line="600" w:lineRule="exact"/>
        <w:ind w:left="868" w:hanging="744" w:hangingChars="310"/>
        <w:rPr>
          <w:rFonts w:ascii="仿宋_GB2312" w:eastAsia="仿宋_GB2312"/>
          <w:sz w:val="24"/>
          <w:szCs w:val="24"/>
        </w:rPr>
      </w:pPr>
      <w:r>
        <w:rPr>
          <w:rFonts w:hint="eastAsia" w:ascii="仿宋_GB2312" w:eastAsia="仿宋_GB2312"/>
          <w:sz w:val="24"/>
          <w:szCs w:val="24"/>
        </w:rPr>
        <w:t>附件1：《茂名滨海新区国家级沿海渔港经济区茂名博贺渔港经济区一期工程项目工程质量检测》招标代理服务公开遴选报名表</w:t>
      </w:r>
    </w:p>
    <w:p>
      <w:pPr>
        <w:spacing w:line="600" w:lineRule="exact"/>
        <w:ind w:left="868" w:hanging="744" w:hangingChars="310"/>
        <w:rPr>
          <w:rFonts w:ascii="仿宋_GB2312" w:eastAsia="仿宋_GB2312"/>
          <w:sz w:val="24"/>
          <w:szCs w:val="24"/>
        </w:rPr>
      </w:pPr>
      <w:r>
        <w:rPr>
          <w:rFonts w:hint="eastAsia" w:ascii="仿宋_GB2312" w:eastAsia="仿宋_GB2312"/>
          <w:sz w:val="24"/>
          <w:szCs w:val="24"/>
        </w:rPr>
        <w:t>附件2：《茂名滨海新区国家级沿海渔港经济区茂名博贺渔港经济区一期工程项目工程质量检测》招标代理机构遴选综合评分表</w:t>
      </w:r>
    </w:p>
    <w:p>
      <w:pPr>
        <w:spacing w:line="600" w:lineRule="exact"/>
        <w:jc w:val="right"/>
        <w:rPr>
          <w:rFonts w:ascii="仿宋_GB2312" w:eastAsia="仿宋_GB2312"/>
          <w:sz w:val="24"/>
          <w:szCs w:val="24"/>
        </w:rPr>
      </w:pPr>
    </w:p>
    <w:p>
      <w:pPr>
        <w:spacing w:line="600" w:lineRule="exact"/>
        <w:jc w:val="right"/>
        <w:rPr>
          <w:rFonts w:ascii="仿宋_GB2312" w:eastAsia="仿宋_GB2312"/>
          <w:sz w:val="24"/>
          <w:szCs w:val="24"/>
        </w:rPr>
      </w:pPr>
      <w:r>
        <w:rPr>
          <w:rFonts w:hint="eastAsia" w:ascii="仿宋_GB2312" w:eastAsia="仿宋_GB2312"/>
          <w:sz w:val="24"/>
          <w:szCs w:val="24"/>
        </w:rPr>
        <w:t>茂名滨海发展集团有限公司</w:t>
      </w:r>
    </w:p>
    <w:p>
      <w:pPr>
        <w:spacing w:line="600" w:lineRule="exact"/>
        <w:jc w:val="center"/>
        <w:rPr>
          <w:rFonts w:ascii="仿宋_GB2312" w:eastAsia="仿宋_GB2312"/>
          <w:sz w:val="28"/>
          <w:szCs w:val="28"/>
        </w:rPr>
      </w:pPr>
      <w:r>
        <w:rPr>
          <w:rFonts w:ascii="仿宋_GB2312" w:eastAsia="仿宋_GB2312"/>
          <w:sz w:val="24"/>
          <w:szCs w:val="24"/>
        </w:rPr>
        <w:t xml:space="preserve">                             </w:t>
      </w:r>
      <w:r>
        <w:rPr>
          <w:rFonts w:hint="eastAsia" w:ascii="仿宋_GB2312" w:eastAsia="仿宋_GB2312"/>
          <w:sz w:val="24"/>
          <w:szCs w:val="24"/>
        </w:rPr>
        <w:t xml:space="preserve">    </w:t>
      </w:r>
      <w:r>
        <w:rPr>
          <w:rFonts w:hint="eastAsia" w:ascii="仿宋_GB2312" w:eastAsia="仿宋_GB2312"/>
          <w:sz w:val="24"/>
          <w:szCs w:val="24"/>
          <w:lang w:val="en-US" w:eastAsia="zh-CN"/>
        </w:rPr>
        <w:t xml:space="preserve">          </w:t>
      </w:r>
      <w:r>
        <w:rPr>
          <w:rFonts w:ascii="仿宋_GB2312" w:eastAsia="仿宋_GB2312"/>
          <w:sz w:val="24"/>
          <w:szCs w:val="24"/>
        </w:rPr>
        <w:t xml:space="preserve"> </w:t>
      </w:r>
      <w:r>
        <w:rPr>
          <w:rFonts w:hint="eastAsia" w:ascii="仿宋_GB2312" w:eastAsia="仿宋_GB2312"/>
          <w:sz w:val="24"/>
          <w:szCs w:val="24"/>
        </w:rPr>
        <w:t>2</w:t>
      </w:r>
      <w:r>
        <w:rPr>
          <w:rFonts w:ascii="仿宋_GB2312" w:eastAsia="仿宋_GB2312"/>
          <w:sz w:val="24"/>
          <w:szCs w:val="24"/>
        </w:rPr>
        <w:t>02</w:t>
      </w:r>
      <w:r>
        <w:rPr>
          <w:rFonts w:hint="eastAsia" w:ascii="仿宋_GB2312" w:eastAsia="仿宋_GB2312"/>
          <w:sz w:val="24"/>
          <w:szCs w:val="24"/>
        </w:rPr>
        <w:t>4年1月</w:t>
      </w:r>
      <w:r>
        <w:rPr>
          <w:rFonts w:hint="eastAsia" w:ascii="仿宋_GB2312" w:eastAsia="仿宋_GB2312"/>
          <w:sz w:val="24"/>
          <w:szCs w:val="24"/>
          <w:lang w:val="en-US" w:eastAsia="zh-CN"/>
        </w:rPr>
        <w:t>12</w:t>
      </w:r>
      <w:r>
        <w:rPr>
          <w:rFonts w:hint="eastAsia" w:ascii="仿宋_GB2312" w:eastAsia="仿宋_GB2312"/>
          <w:sz w:val="24"/>
          <w:szCs w:val="24"/>
        </w:rPr>
        <w:t>日</w:t>
      </w:r>
    </w:p>
    <w:p>
      <w:pPr>
        <w:jc w:val="left"/>
        <w:rPr>
          <w:rFonts w:hint="eastAsia" w:ascii="仿宋_GB2312" w:eastAsia="仿宋_GB2312"/>
          <w:sz w:val="28"/>
          <w:szCs w:val="28"/>
        </w:rPr>
      </w:pPr>
    </w:p>
    <w:p>
      <w:pPr>
        <w:jc w:val="left"/>
        <w:rPr>
          <w:rFonts w:hint="eastAsia" w:ascii="仿宋_GB2312" w:eastAsia="仿宋_GB2312"/>
          <w:sz w:val="28"/>
          <w:szCs w:val="28"/>
        </w:rPr>
      </w:pPr>
    </w:p>
    <w:p>
      <w:pPr>
        <w:jc w:val="left"/>
        <w:rPr>
          <w:rFonts w:hint="eastAsia" w:ascii="仿宋_GB2312" w:eastAsia="仿宋_GB2312"/>
          <w:sz w:val="28"/>
          <w:szCs w:val="28"/>
        </w:rPr>
      </w:pPr>
    </w:p>
    <w:p>
      <w:pPr>
        <w:jc w:val="left"/>
        <w:rPr>
          <w:rFonts w:ascii="仿宋_GB2312" w:eastAsia="仿宋_GB2312"/>
          <w:sz w:val="28"/>
          <w:szCs w:val="28"/>
        </w:rPr>
      </w:pPr>
      <w:r>
        <w:rPr>
          <w:rFonts w:hint="eastAsia" w:ascii="仿宋_GB2312" w:eastAsia="仿宋_GB2312"/>
          <w:sz w:val="28"/>
          <w:szCs w:val="28"/>
        </w:rPr>
        <w:t>附件：</w:t>
      </w:r>
    </w:p>
    <w:tbl>
      <w:tblPr>
        <w:tblStyle w:val="4"/>
        <w:tblW w:w="10291" w:type="dxa"/>
        <w:jc w:val="center"/>
        <w:tblLayout w:type="autofit"/>
        <w:tblCellMar>
          <w:top w:w="0" w:type="dxa"/>
          <w:left w:w="108" w:type="dxa"/>
          <w:bottom w:w="0" w:type="dxa"/>
          <w:right w:w="108" w:type="dxa"/>
        </w:tblCellMar>
      </w:tblPr>
      <w:tblGrid>
        <w:gridCol w:w="1273"/>
        <w:gridCol w:w="1988"/>
        <w:gridCol w:w="236"/>
        <w:gridCol w:w="1796"/>
        <w:gridCol w:w="317"/>
        <w:gridCol w:w="4364"/>
        <w:gridCol w:w="317"/>
      </w:tblGrid>
      <w:tr>
        <w:tblPrEx>
          <w:tblCellMar>
            <w:top w:w="0" w:type="dxa"/>
            <w:left w:w="108" w:type="dxa"/>
            <w:bottom w:w="0" w:type="dxa"/>
            <w:right w:w="108" w:type="dxa"/>
          </w:tblCellMar>
        </w:tblPrEx>
        <w:trPr>
          <w:gridAfter w:val="1"/>
          <w:wAfter w:w="317" w:type="dxa"/>
          <w:trHeight w:val="545" w:hRule="atLeast"/>
          <w:jc w:val="center"/>
        </w:trPr>
        <w:tc>
          <w:tcPr>
            <w:tcW w:w="9974" w:type="dxa"/>
            <w:gridSpan w:val="6"/>
            <w:tcBorders>
              <w:top w:val="nil"/>
              <w:left w:val="nil"/>
              <w:bottom w:val="nil"/>
              <w:right w:val="nil"/>
            </w:tcBorders>
            <w:shd w:val="clear" w:color="auto" w:fill="auto"/>
            <w:vAlign w:val="center"/>
          </w:tcPr>
          <w:p>
            <w:pPr>
              <w:jc w:val="center"/>
              <w:rPr>
                <w:rFonts w:hint="eastAsia" w:ascii="方正小标宋简体" w:eastAsia="方正小标宋简体"/>
                <w:sz w:val="36"/>
                <w:szCs w:val="36"/>
              </w:rPr>
            </w:pPr>
            <w:r>
              <w:rPr>
                <w:rFonts w:hint="eastAsia" w:ascii="方正小标宋简体" w:eastAsia="方正小标宋简体"/>
                <w:sz w:val="36"/>
                <w:szCs w:val="36"/>
              </w:rPr>
              <w:t>《茂名滨海新区国家级沿海渔港经济区茂名博贺渔港经济区一期工程项目工程质量检测》招标代理服务公开遴选报</w:t>
            </w:r>
            <w:r>
              <w:rPr>
                <w:rFonts w:hint="eastAsia" w:ascii="方正小标宋简体" w:eastAsia="方正小标宋简体"/>
                <w:sz w:val="36"/>
                <w:szCs w:val="36"/>
                <w:lang w:val="en-US" w:eastAsia="zh-CN"/>
              </w:rPr>
              <w:t>名</w:t>
            </w:r>
            <w:r>
              <w:rPr>
                <w:rFonts w:hint="eastAsia" w:ascii="方正小标宋简体" w:eastAsia="方正小标宋简体"/>
                <w:sz w:val="36"/>
                <w:szCs w:val="36"/>
              </w:rPr>
              <w:t>表</w:t>
            </w:r>
          </w:p>
          <w:p>
            <w:pPr>
              <w:jc w:val="center"/>
              <w:rPr>
                <w:rFonts w:hint="eastAsia" w:ascii="方正小标宋简体" w:eastAsia="方正小标宋简体"/>
                <w:sz w:val="36"/>
                <w:szCs w:val="36"/>
              </w:rPr>
            </w:pPr>
            <w:bookmarkStart w:id="0" w:name="_GoBack"/>
            <w:bookmarkEnd w:id="0"/>
          </w:p>
        </w:tc>
      </w:tr>
      <w:tr>
        <w:tblPrEx>
          <w:tblCellMar>
            <w:top w:w="0" w:type="dxa"/>
            <w:left w:w="108" w:type="dxa"/>
            <w:bottom w:w="0" w:type="dxa"/>
            <w:right w:w="108" w:type="dxa"/>
          </w:tblCellMar>
        </w:tblPrEx>
        <w:trPr>
          <w:gridAfter w:val="1"/>
          <w:wAfter w:w="317" w:type="dxa"/>
          <w:trHeight w:val="545" w:hRule="atLeast"/>
          <w:jc w:val="center"/>
        </w:trPr>
        <w:tc>
          <w:tcPr>
            <w:tcW w:w="9974" w:type="dxa"/>
            <w:gridSpan w:val="6"/>
            <w:tcBorders>
              <w:top w:val="nil"/>
              <w:left w:val="nil"/>
              <w:bottom w:val="single" w:color="auto" w:sz="4" w:space="0"/>
              <w:right w:val="nil"/>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业主单位发函时间：2024年1月</w:t>
            </w:r>
            <w:r>
              <w:rPr>
                <w:rFonts w:hint="eastAsia" w:ascii="宋体" w:hAnsi="宋体" w:eastAsia="宋体" w:cs="宋体"/>
                <w:color w:val="000000"/>
                <w:kern w:val="0"/>
                <w:szCs w:val="21"/>
                <w:lang w:val="en-US" w:eastAsia="zh-CN"/>
              </w:rPr>
              <w:t>12</w:t>
            </w:r>
            <w:r>
              <w:rPr>
                <w:rFonts w:hint="eastAsia" w:ascii="宋体" w:hAnsi="宋体" w:eastAsia="宋体" w:cs="宋体"/>
                <w:color w:val="000000"/>
                <w:kern w:val="0"/>
                <w:szCs w:val="21"/>
              </w:rPr>
              <w:t>日</w:t>
            </w:r>
          </w:p>
        </w:tc>
      </w:tr>
      <w:tr>
        <w:tblPrEx>
          <w:tblCellMar>
            <w:top w:w="0" w:type="dxa"/>
            <w:left w:w="108" w:type="dxa"/>
            <w:bottom w:w="0" w:type="dxa"/>
            <w:right w:w="108" w:type="dxa"/>
          </w:tblCellMar>
        </w:tblPrEx>
        <w:trPr>
          <w:gridAfter w:val="1"/>
          <w:wAfter w:w="317" w:type="dxa"/>
          <w:trHeight w:val="991" w:hRule="atLeast"/>
          <w:jc w:val="center"/>
        </w:trPr>
        <w:tc>
          <w:tcPr>
            <w:tcW w:w="1273" w:type="dxa"/>
            <w:vMerge w:val="restart"/>
            <w:tcBorders>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项目简要</w:t>
            </w:r>
          </w:p>
        </w:tc>
        <w:tc>
          <w:tcPr>
            <w:tcW w:w="19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仿宋"/>
                <w:sz w:val="24"/>
                <w:szCs w:val="24"/>
              </w:rPr>
            </w:pPr>
            <w:r>
              <w:rPr>
                <w:rFonts w:hint="eastAsia" w:ascii="宋体" w:hAnsi="宋体" w:eastAsia="宋体" w:cs="仿宋"/>
                <w:sz w:val="24"/>
                <w:szCs w:val="24"/>
              </w:rPr>
              <w:t>茂名滨海新区国家级沿海渔港经济区茂名博贺渔港经济区一期工程项目工程质量检测</w:t>
            </w:r>
          </w:p>
        </w:tc>
      </w:tr>
      <w:tr>
        <w:tblPrEx>
          <w:tblCellMar>
            <w:top w:w="0" w:type="dxa"/>
            <w:left w:w="108" w:type="dxa"/>
            <w:bottom w:w="0" w:type="dxa"/>
            <w:right w:w="108" w:type="dxa"/>
          </w:tblCellMar>
        </w:tblPrEx>
        <w:trPr>
          <w:gridAfter w:val="1"/>
          <w:wAfter w:w="317" w:type="dxa"/>
          <w:trHeight w:val="1123" w:hRule="atLeast"/>
          <w:jc w:val="center"/>
        </w:trPr>
        <w:tc>
          <w:tcPr>
            <w:tcW w:w="1273" w:type="dxa"/>
            <w:vMerge w:val="continue"/>
            <w:tcBorders>
              <w:left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p>
        </w:tc>
        <w:tc>
          <w:tcPr>
            <w:tcW w:w="19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项目概况</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仿宋"/>
                <w:sz w:val="24"/>
                <w:szCs w:val="24"/>
              </w:rPr>
            </w:pPr>
            <w:r>
              <w:rPr>
                <w:rFonts w:hint="eastAsia" w:ascii="宋体" w:hAnsi="宋体" w:eastAsia="宋体" w:cs="仿宋"/>
                <w:sz w:val="24"/>
                <w:szCs w:val="24"/>
              </w:rPr>
              <w:t>现我司有茂名滨海新区国家级沿海渔港经济区茂名博贺渔港经济区一期工程项目工程质量检测需要进行公开招标工作，现择优选聘一家招标代理单位提供招标指导服务。</w:t>
            </w:r>
            <w:r>
              <w:rPr>
                <w:rFonts w:hint="eastAsia" w:ascii="宋体" w:hAnsi="宋体" w:eastAsia="宋体" w:cs="仿宋"/>
                <w:sz w:val="24"/>
                <w:szCs w:val="24"/>
                <w:lang w:val="en-US" w:eastAsia="zh-CN"/>
              </w:rPr>
              <w:t>选聘的要求为招标代理的技术、商务、价格等三个方面</w:t>
            </w:r>
            <w:r>
              <w:rPr>
                <w:rFonts w:hint="eastAsia" w:ascii="宋体" w:hAnsi="宋体" w:eastAsia="宋体" w:cs="仿宋"/>
                <w:sz w:val="24"/>
                <w:szCs w:val="24"/>
              </w:rPr>
              <w:t>，本项目的代理服务费报价形式以经济下浮率方式报价，实际产生代理服务费由项目实际中标单位支付，支付的金额=实际中标金额结合招标代理服务收费管理暂行办法[计价格 ［2002］1980号]所得的招标代理服务费*（1-下浮率）。</w:t>
            </w:r>
          </w:p>
        </w:tc>
      </w:tr>
      <w:tr>
        <w:tblPrEx>
          <w:tblCellMar>
            <w:top w:w="0" w:type="dxa"/>
            <w:left w:w="108" w:type="dxa"/>
            <w:bottom w:w="0" w:type="dxa"/>
            <w:right w:w="108" w:type="dxa"/>
          </w:tblCellMar>
        </w:tblPrEx>
        <w:trPr>
          <w:gridAfter w:val="1"/>
          <w:wAfter w:w="317" w:type="dxa"/>
          <w:trHeight w:val="3074" w:hRule="atLeast"/>
          <w:jc w:val="center"/>
        </w:trPr>
        <w:tc>
          <w:tcPr>
            <w:tcW w:w="1273"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9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工作内容</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仿宋"/>
                <w:sz w:val="24"/>
                <w:szCs w:val="24"/>
              </w:rPr>
            </w:pPr>
            <w:r>
              <w:rPr>
                <w:rFonts w:hint="eastAsia" w:ascii="宋体" w:hAnsi="宋体" w:eastAsia="宋体" w:cs="仿宋"/>
                <w:sz w:val="24"/>
                <w:szCs w:val="24"/>
              </w:rPr>
              <w:t>主要工作内容如下：</w:t>
            </w:r>
          </w:p>
          <w:p>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1）编制招标文件，把控招标文件质量；</w:t>
            </w:r>
          </w:p>
          <w:p>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2）接收投标人报名、组织资格审查；</w:t>
            </w:r>
          </w:p>
          <w:p>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3）召集答疑会，整理答疑文件；</w:t>
            </w:r>
          </w:p>
          <w:p>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4）组织开标和评标；</w:t>
            </w:r>
          </w:p>
          <w:p>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5）办理中选通知书的相关手续；</w:t>
            </w:r>
          </w:p>
          <w:p>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6）整理招标过程资料；</w:t>
            </w:r>
          </w:p>
          <w:p>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7）招标过程中需要配合其他相关工作。</w:t>
            </w:r>
          </w:p>
          <w:p>
            <w:pPr>
              <w:rPr>
                <w:rFonts w:ascii="宋体" w:hAnsi="宋体" w:eastAsia="宋体" w:cs="宋体"/>
                <w:color w:val="000000"/>
                <w:kern w:val="0"/>
                <w:sz w:val="24"/>
                <w:szCs w:val="24"/>
              </w:rPr>
            </w:pPr>
            <w:r>
              <w:rPr>
                <w:rFonts w:hint="eastAsia" w:ascii="宋体" w:hAnsi="宋体" w:eastAsia="宋体" w:cs="仿宋"/>
                <w:sz w:val="24"/>
                <w:szCs w:val="24"/>
              </w:rPr>
              <w:t>以上工作内容暂定，实际以双方签订的合同约定为准。</w:t>
            </w:r>
          </w:p>
        </w:tc>
      </w:tr>
      <w:tr>
        <w:tblPrEx>
          <w:tblCellMar>
            <w:top w:w="0" w:type="dxa"/>
            <w:left w:w="108" w:type="dxa"/>
            <w:bottom w:w="0" w:type="dxa"/>
            <w:right w:w="108" w:type="dxa"/>
          </w:tblCellMar>
        </w:tblPrEx>
        <w:trPr>
          <w:gridAfter w:val="1"/>
          <w:wAfter w:w="317" w:type="dxa"/>
          <w:trHeight w:val="736" w:hRule="atLeast"/>
          <w:jc w:val="center"/>
        </w:trPr>
        <w:tc>
          <w:tcPr>
            <w:tcW w:w="1273"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p>
        </w:tc>
        <w:tc>
          <w:tcPr>
            <w:tcW w:w="19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工期要求</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按业主方与项目具体要求为准。</w:t>
            </w:r>
          </w:p>
        </w:tc>
      </w:tr>
      <w:tr>
        <w:tblPrEx>
          <w:tblCellMar>
            <w:top w:w="0" w:type="dxa"/>
            <w:left w:w="108" w:type="dxa"/>
            <w:bottom w:w="0" w:type="dxa"/>
            <w:right w:w="108" w:type="dxa"/>
          </w:tblCellMar>
        </w:tblPrEx>
        <w:trPr>
          <w:gridAfter w:val="1"/>
          <w:wAfter w:w="317" w:type="dxa"/>
          <w:trHeight w:val="736" w:hRule="atLeast"/>
          <w:jc w:val="center"/>
        </w:trPr>
        <w:tc>
          <w:tcPr>
            <w:tcW w:w="12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报价部分</w:t>
            </w:r>
          </w:p>
        </w:tc>
        <w:tc>
          <w:tcPr>
            <w:tcW w:w="19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要求</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本</w:t>
            </w:r>
            <w:r>
              <w:rPr>
                <w:rFonts w:hint="eastAsia" w:ascii="宋体" w:hAnsi="宋体" w:eastAsia="宋体" w:cs="宋体"/>
                <w:color w:val="000000"/>
                <w:kern w:val="0"/>
                <w:sz w:val="24"/>
                <w:szCs w:val="24"/>
                <w:lang w:val="en-US" w:eastAsia="zh-CN"/>
              </w:rPr>
              <w:t>次采购上限价23000元，</w:t>
            </w:r>
            <w:r>
              <w:rPr>
                <w:rFonts w:hint="eastAsia" w:ascii="宋体" w:hAnsi="宋体" w:eastAsia="宋体" w:cs="宋体"/>
                <w:color w:val="000000"/>
                <w:kern w:val="0"/>
                <w:sz w:val="24"/>
                <w:szCs w:val="24"/>
              </w:rPr>
              <w:t>以报下浮率的方式，</w:t>
            </w:r>
            <w:r>
              <w:rPr>
                <w:rFonts w:hint="eastAsia" w:ascii="宋体" w:hAnsi="宋体" w:eastAsia="宋体" w:cs="宋体"/>
                <w:color w:val="000000"/>
                <w:kern w:val="0"/>
                <w:sz w:val="24"/>
                <w:szCs w:val="24"/>
                <w:lang w:val="en-US" w:eastAsia="zh-CN"/>
              </w:rPr>
              <w:t>费率包干，</w:t>
            </w:r>
            <w:r>
              <w:rPr>
                <w:rFonts w:hint="eastAsia" w:ascii="宋体" w:hAnsi="宋体" w:eastAsia="宋体" w:cs="宋体"/>
                <w:color w:val="000000"/>
                <w:kern w:val="0"/>
                <w:sz w:val="24"/>
                <w:szCs w:val="24"/>
              </w:rPr>
              <w:t>包括但不限于差旅费、专家费、场地费等，报价单位需综合考虑成本</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本函请于2024年1月</w:t>
            </w:r>
            <w:r>
              <w:rPr>
                <w:rFonts w:hint="eastAsia" w:ascii="宋体" w:hAnsi="宋体" w:eastAsia="宋体" w:cs="宋体"/>
                <w:color w:val="000000"/>
                <w:kern w:val="0"/>
                <w:sz w:val="24"/>
                <w:szCs w:val="24"/>
                <w:lang w:val="en-US" w:eastAsia="zh-CN"/>
              </w:rPr>
              <w:t>16</w:t>
            </w:r>
            <w:r>
              <w:rPr>
                <w:rFonts w:hint="eastAsia" w:ascii="宋体" w:hAnsi="宋体" w:eastAsia="宋体" w:cs="宋体"/>
                <w:color w:val="000000"/>
                <w:kern w:val="0"/>
                <w:sz w:val="24"/>
                <w:szCs w:val="24"/>
              </w:rPr>
              <w:t>日1</w:t>
            </w:r>
            <w:r>
              <w:rPr>
                <w:rFonts w:ascii="宋体" w:hAnsi="宋体" w:eastAsia="宋体" w:cs="宋体"/>
                <w:color w:val="000000"/>
                <w:kern w:val="0"/>
                <w:sz w:val="24"/>
                <w:szCs w:val="24"/>
              </w:rPr>
              <w:t>7</w:t>
            </w:r>
            <w:r>
              <w:rPr>
                <w:rFonts w:hint="eastAsia" w:ascii="宋体" w:hAnsi="宋体" w:eastAsia="宋体" w:cs="宋体"/>
                <w:color w:val="000000"/>
                <w:kern w:val="0"/>
                <w:sz w:val="24"/>
                <w:szCs w:val="24"/>
              </w:rPr>
              <w:t>点前送达邮箱，邮箱地址：323431302@qq.com。</w:t>
            </w:r>
          </w:p>
        </w:tc>
      </w:tr>
      <w:tr>
        <w:tblPrEx>
          <w:tblCellMar>
            <w:top w:w="0" w:type="dxa"/>
            <w:left w:w="108" w:type="dxa"/>
            <w:bottom w:w="0" w:type="dxa"/>
            <w:right w:w="108" w:type="dxa"/>
          </w:tblCellMar>
        </w:tblPrEx>
        <w:trPr>
          <w:gridAfter w:val="1"/>
          <w:wAfter w:w="317" w:type="dxa"/>
          <w:trHeight w:val="933" w:hRule="atLeast"/>
          <w:jc w:val="center"/>
        </w:trPr>
        <w:tc>
          <w:tcPr>
            <w:tcW w:w="127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仿宋"/>
                <w:sz w:val="24"/>
                <w:szCs w:val="24"/>
              </w:rPr>
              <w:t>茂名滨海新区国家级沿海渔港经济区茂名博贺渔港经济区一期工程项目工程质量检测</w:t>
            </w:r>
          </w:p>
        </w:tc>
      </w:tr>
      <w:tr>
        <w:tblPrEx>
          <w:tblCellMar>
            <w:top w:w="0" w:type="dxa"/>
            <w:left w:w="108" w:type="dxa"/>
            <w:bottom w:w="0" w:type="dxa"/>
            <w:right w:w="108" w:type="dxa"/>
          </w:tblCellMar>
        </w:tblPrEx>
        <w:trPr>
          <w:gridAfter w:val="1"/>
          <w:wAfter w:w="317" w:type="dxa"/>
          <w:trHeight w:val="523" w:hRule="atLeast"/>
          <w:jc w:val="center"/>
        </w:trPr>
        <w:tc>
          <w:tcPr>
            <w:tcW w:w="127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报价金额（元）</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 </w:t>
            </w:r>
          </w:p>
        </w:tc>
      </w:tr>
      <w:tr>
        <w:tblPrEx>
          <w:tblCellMar>
            <w:top w:w="0" w:type="dxa"/>
            <w:left w:w="108" w:type="dxa"/>
            <w:bottom w:w="0" w:type="dxa"/>
            <w:right w:w="108" w:type="dxa"/>
          </w:tblCellMar>
        </w:tblPrEx>
        <w:trPr>
          <w:gridAfter w:val="1"/>
          <w:wAfter w:w="317" w:type="dxa"/>
          <w:trHeight w:val="545" w:hRule="atLeast"/>
          <w:jc w:val="center"/>
        </w:trPr>
        <w:tc>
          <w:tcPr>
            <w:tcW w:w="127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金额大写</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gridAfter w:val="1"/>
          <w:wAfter w:w="317" w:type="dxa"/>
          <w:trHeight w:val="473" w:hRule="atLeast"/>
          <w:jc w:val="center"/>
        </w:trPr>
        <w:tc>
          <w:tcPr>
            <w:tcW w:w="127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报价有效期</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自2</w:t>
            </w:r>
            <w:r>
              <w:rPr>
                <w:rFonts w:ascii="宋体" w:hAnsi="宋体" w:eastAsia="宋体" w:cs="宋体"/>
                <w:color w:val="000000"/>
                <w:kern w:val="0"/>
                <w:sz w:val="24"/>
                <w:szCs w:val="24"/>
              </w:rPr>
              <w:t>02</w:t>
            </w:r>
            <w:r>
              <w:rPr>
                <w:rFonts w:hint="eastAsia" w:ascii="宋体" w:hAnsi="宋体" w:eastAsia="宋体" w:cs="宋体"/>
                <w:color w:val="000000"/>
                <w:kern w:val="0"/>
                <w:sz w:val="24"/>
                <w:szCs w:val="24"/>
              </w:rPr>
              <w:t>4年  月  日起，至2</w:t>
            </w:r>
            <w:r>
              <w:rPr>
                <w:rFonts w:ascii="宋体" w:hAnsi="宋体" w:eastAsia="宋体" w:cs="宋体"/>
                <w:color w:val="000000"/>
                <w:kern w:val="0"/>
                <w:sz w:val="24"/>
                <w:szCs w:val="24"/>
              </w:rPr>
              <w:t>02</w:t>
            </w:r>
            <w:r>
              <w:rPr>
                <w:rFonts w:hint="eastAsia" w:ascii="宋体" w:hAnsi="宋体" w:eastAsia="宋体" w:cs="宋体"/>
                <w:color w:val="000000"/>
                <w:kern w:val="0"/>
                <w:sz w:val="24"/>
                <w:szCs w:val="24"/>
              </w:rPr>
              <w:t xml:space="preserve">4年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月  日止。</w:t>
            </w:r>
          </w:p>
        </w:tc>
      </w:tr>
      <w:tr>
        <w:tblPrEx>
          <w:tblCellMar>
            <w:top w:w="0" w:type="dxa"/>
            <w:left w:w="108" w:type="dxa"/>
            <w:bottom w:w="0" w:type="dxa"/>
            <w:right w:w="108" w:type="dxa"/>
          </w:tblCellMar>
        </w:tblPrEx>
        <w:trPr>
          <w:gridAfter w:val="1"/>
          <w:wAfter w:w="317" w:type="dxa"/>
          <w:trHeight w:val="409" w:hRule="atLeast"/>
          <w:jc w:val="center"/>
        </w:trPr>
        <w:tc>
          <w:tcPr>
            <w:tcW w:w="12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联系人</w:t>
            </w:r>
          </w:p>
        </w:tc>
        <w:tc>
          <w:tcPr>
            <w:tcW w:w="19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203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电话</w:t>
            </w:r>
          </w:p>
        </w:tc>
        <w:tc>
          <w:tcPr>
            <w:tcW w:w="468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545" w:hRule="atLeast"/>
          <w:jc w:val="center"/>
        </w:trPr>
        <w:tc>
          <w:tcPr>
            <w:tcW w:w="1273" w:type="dxa"/>
            <w:shd w:val="clear" w:color="auto" w:fill="auto"/>
            <w:vAlign w:val="center"/>
          </w:tcPr>
          <w:p>
            <w:pPr>
              <w:widowControl/>
              <w:jc w:val="left"/>
              <w:rPr>
                <w:rFonts w:ascii="Times New Roman" w:hAnsi="Times New Roman" w:eastAsia="Times New Roman" w:cs="Times New Roman"/>
                <w:kern w:val="0"/>
                <w:sz w:val="24"/>
                <w:szCs w:val="24"/>
              </w:rPr>
            </w:pPr>
          </w:p>
        </w:tc>
        <w:tc>
          <w:tcPr>
            <w:tcW w:w="1988" w:type="dxa"/>
            <w:shd w:val="clear" w:color="auto" w:fill="auto"/>
            <w:vAlign w:val="center"/>
          </w:tcPr>
          <w:p>
            <w:pPr>
              <w:widowControl/>
              <w:jc w:val="left"/>
              <w:rPr>
                <w:rFonts w:ascii="Times New Roman" w:hAnsi="Times New Roman" w:eastAsia="Times New Roman" w:cs="Times New Roman"/>
                <w:kern w:val="0"/>
                <w:sz w:val="24"/>
                <w:szCs w:val="24"/>
              </w:rPr>
            </w:pPr>
          </w:p>
        </w:tc>
        <w:tc>
          <w:tcPr>
            <w:tcW w:w="236" w:type="dxa"/>
            <w:shd w:val="clear" w:color="auto" w:fill="auto"/>
            <w:vAlign w:val="center"/>
          </w:tcPr>
          <w:p>
            <w:pPr>
              <w:widowControl/>
              <w:jc w:val="left"/>
              <w:rPr>
                <w:rFonts w:ascii="Times New Roman" w:hAnsi="Times New Roman" w:eastAsia="Times New Roman" w:cs="Times New Roman"/>
                <w:kern w:val="0"/>
                <w:sz w:val="24"/>
                <w:szCs w:val="24"/>
              </w:rPr>
            </w:pPr>
          </w:p>
        </w:tc>
        <w:tc>
          <w:tcPr>
            <w:tcW w:w="2113" w:type="dxa"/>
            <w:gridSpan w:val="2"/>
            <w:shd w:val="clear" w:color="auto" w:fill="auto"/>
            <w:vAlign w:val="center"/>
          </w:tcPr>
          <w:p>
            <w:pPr>
              <w:widowControl/>
              <w:jc w:val="left"/>
              <w:rPr>
                <w:rFonts w:ascii="Times New Roman" w:hAnsi="Times New Roman" w:cs="Times New Roman"/>
                <w:kern w:val="0"/>
                <w:sz w:val="24"/>
                <w:szCs w:val="24"/>
              </w:rPr>
            </w:pPr>
          </w:p>
        </w:tc>
        <w:tc>
          <w:tcPr>
            <w:tcW w:w="4681" w:type="dxa"/>
            <w:gridSpan w:val="2"/>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报价单位</w:t>
            </w:r>
          </w:p>
          <w:p>
            <w:pPr>
              <w:widowControl/>
              <w:ind w:firstLine="1200" w:firstLineChars="5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（加盖公章）</w:t>
            </w:r>
          </w:p>
        </w:tc>
      </w:tr>
      <w:tr>
        <w:tblPrEx>
          <w:tblCellMar>
            <w:top w:w="0" w:type="dxa"/>
            <w:left w:w="108" w:type="dxa"/>
            <w:bottom w:w="0" w:type="dxa"/>
            <w:right w:w="108" w:type="dxa"/>
          </w:tblCellMar>
        </w:tblPrEx>
        <w:trPr>
          <w:trHeight w:val="255" w:hRule="atLeast"/>
          <w:jc w:val="center"/>
        </w:trPr>
        <w:tc>
          <w:tcPr>
            <w:tcW w:w="1273" w:type="dxa"/>
            <w:shd w:val="clear" w:color="auto" w:fill="auto"/>
            <w:vAlign w:val="center"/>
          </w:tcPr>
          <w:p>
            <w:pPr>
              <w:widowControl/>
              <w:jc w:val="left"/>
              <w:rPr>
                <w:rFonts w:ascii="Times New Roman" w:hAnsi="Times New Roman" w:eastAsia="Times New Roman" w:cs="Times New Roman"/>
                <w:kern w:val="0"/>
                <w:sz w:val="24"/>
                <w:szCs w:val="24"/>
              </w:rPr>
            </w:pPr>
          </w:p>
        </w:tc>
        <w:tc>
          <w:tcPr>
            <w:tcW w:w="1988" w:type="dxa"/>
            <w:shd w:val="clear" w:color="auto" w:fill="auto"/>
            <w:vAlign w:val="center"/>
          </w:tcPr>
          <w:p>
            <w:pPr>
              <w:widowControl/>
              <w:jc w:val="left"/>
              <w:rPr>
                <w:rFonts w:ascii="Times New Roman" w:hAnsi="Times New Roman" w:eastAsia="Times New Roman" w:cs="Times New Roman"/>
                <w:kern w:val="0"/>
                <w:sz w:val="24"/>
                <w:szCs w:val="24"/>
              </w:rPr>
            </w:pPr>
          </w:p>
        </w:tc>
        <w:tc>
          <w:tcPr>
            <w:tcW w:w="236" w:type="dxa"/>
            <w:shd w:val="clear" w:color="auto" w:fill="auto"/>
            <w:vAlign w:val="center"/>
          </w:tcPr>
          <w:p>
            <w:pPr>
              <w:widowControl/>
              <w:jc w:val="left"/>
              <w:rPr>
                <w:rFonts w:ascii="Times New Roman" w:hAnsi="Times New Roman" w:eastAsia="Times New Roman" w:cs="Times New Roman"/>
                <w:kern w:val="0"/>
                <w:sz w:val="24"/>
                <w:szCs w:val="24"/>
              </w:rPr>
            </w:pPr>
          </w:p>
        </w:tc>
        <w:tc>
          <w:tcPr>
            <w:tcW w:w="2113" w:type="dxa"/>
            <w:gridSpan w:val="2"/>
            <w:shd w:val="clear" w:color="auto" w:fill="auto"/>
            <w:vAlign w:val="center"/>
          </w:tcPr>
          <w:p>
            <w:pPr>
              <w:widowControl/>
              <w:jc w:val="left"/>
              <w:rPr>
                <w:rFonts w:ascii="Times New Roman" w:hAnsi="Times New Roman" w:eastAsia="Times New Roman" w:cs="Times New Roman"/>
                <w:kern w:val="0"/>
                <w:sz w:val="24"/>
                <w:szCs w:val="24"/>
              </w:rPr>
            </w:pPr>
          </w:p>
        </w:tc>
        <w:tc>
          <w:tcPr>
            <w:tcW w:w="4681" w:type="dxa"/>
            <w:gridSpan w:val="2"/>
            <w:shd w:val="clear" w:color="auto" w:fill="auto"/>
            <w:vAlign w:val="center"/>
          </w:tcPr>
          <w:p>
            <w:pPr>
              <w:widowControl/>
              <w:ind w:firstLine="1920" w:firstLineChars="800"/>
              <w:rPr>
                <w:rFonts w:ascii="宋体" w:hAnsi="宋体" w:eastAsia="宋体" w:cs="宋体"/>
                <w:color w:val="000000"/>
                <w:kern w:val="0"/>
                <w:sz w:val="24"/>
                <w:szCs w:val="24"/>
              </w:rPr>
            </w:pPr>
            <w:r>
              <w:rPr>
                <w:rFonts w:hint="eastAsia" w:ascii="宋体" w:hAnsi="宋体" w:eastAsia="宋体" w:cs="宋体"/>
                <w:color w:val="000000"/>
                <w:kern w:val="0"/>
                <w:sz w:val="24"/>
                <w:szCs w:val="24"/>
              </w:rPr>
              <w:t>年  月  日</w:t>
            </w:r>
          </w:p>
        </w:tc>
      </w:tr>
    </w:tbl>
    <w:p>
      <w:pPr>
        <w:jc w:val="left"/>
        <w:rPr>
          <w:rFonts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YwNmFkOTg2Nzg5ZWE2NDRiYThjOGRhYzA4NDkxMDgifQ=="/>
  </w:docVars>
  <w:rsids>
    <w:rsidRoot w:val="0016559C"/>
    <w:rsid w:val="00013213"/>
    <w:rsid w:val="00026EC4"/>
    <w:rsid w:val="00032D49"/>
    <w:rsid w:val="00033EE2"/>
    <w:rsid w:val="000345F1"/>
    <w:rsid w:val="000A3395"/>
    <w:rsid w:val="000B2AAD"/>
    <w:rsid w:val="000C323B"/>
    <w:rsid w:val="000E1F7A"/>
    <w:rsid w:val="00101E86"/>
    <w:rsid w:val="00117743"/>
    <w:rsid w:val="00136B3F"/>
    <w:rsid w:val="00136B7E"/>
    <w:rsid w:val="0016559C"/>
    <w:rsid w:val="00191715"/>
    <w:rsid w:val="001C0D23"/>
    <w:rsid w:val="001E57AD"/>
    <w:rsid w:val="0021440E"/>
    <w:rsid w:val="00214B14"/>
    <w:rsid w:val="00245E2B"/>
    <w:rsid w:val="00255C74"/>
    <w:rsid w:val="00293AC8"/>
    <w:rsid w:val="002B27E4"/>
    <w:rsid w:val="002C2AA2"/>
    <w:rsid w:val="00333BD2"/>
    <w:rsid w:val="00354B10"/>
    <w:rsid w:val="0035775C"/>
    <w:rsid w:val="00375EE1"/>
    <w:rsid w:val="003D275F"/>
    <w:rsid w:val="003E73D7"/>
    <w:rsid w:val="004474DE"/>
    <w:rsid w:val="004553E7"/>
    <w:rsid w:val="00465234"/>
    <w:rsid w:val="00472951"/>
    <w:rsid w:val="00473E13"/>
    <w:rsid w:val="00480B33"/>
    <w:rsid w:val="00495581"/>
    <w:rsid w:val="004A238B"/>
    <w:rsid w:val="004A4371"/>
    <w:rsid w:val="005709D3"/>
    <w:rsid w:val="00577FC2"/>
    <w:rsid w:val="005826A9"/>
    <w:rsid w:val="005B1941"/>
    <w:rsid w:val="005C5F43"/>
    <w:rsid w:val="005D5C4F"/>
    <w:rsid w:val="005E6002"/>
    <w:rsid w:val="00674459"/>
    <w:rsid w:val="00675847"/>
    <w:rsid w:val="00682DBB"/>
    <w:rsid w:val="006B1DC9"/>
    <w:rsid w:val="00710831"/>
    <w:rsid w:val="00710FC6"/>
    <w:rsid w:val="007128D4"/>
    <w:rsid w:val="00713AA7"/>
    <w:rsid w:val="00766517"/>
    <w:rsid w:val="00767A24"/>
    <w:rsid w:val="00776CCB"/>
    <w:rsid w:val="00784E9A"/>
    <w:rsid w:val="007914B3"/>
    <w:rsid w:val="007A0EBD"/>
    <w:rsid w:val="007B33EC"/>
    <w:rsid w:val="007E64FC"/>
    <w:rsid w:val="00806F6F"/>
    <w:rsid w:val="008342EF"/>
    <w:rsid w:val="00843B0C"/>
    <w:rsid w:val="00847A9E"/>
    <w:rsid w:val="008511A0"/>
    <w:rsid w:val="008533DD"/>
    <w:rsid w:val="0089496D"/>
    <w:rsid w:val="008A4361"/>
    <w:rsid w:val="008C4520"/>
    <w:rsid w:val="008C5595"/>
    <w:rsid w:val="008C6FF8"/>
    <w:rsid w:val="00922E93"/>
    <w:rsid w:val="0093254D"/>
    <w:rsid w:val="00950BC0"/>
    <w:rsid w:val="00956793"/>
    <w:rsid w:val="0098409C"/>
    <w:rsid w:val="009C0450"/>
    <w:rsid w:val="009C1D2B"/>
    <w:rsid w:val="009F746C"/>
    <w:rsid w:val="00A16FCB"/>
    <w:rsid w:val="00A211AB"/>
    <w:rsid w:val="00A43243"/>
    <w:rsid w:val="00A75A10"/>
    <w:rsid w:val="00A85A63"/>
    <w:rsid w:val="00A86D97"/>
    <w:rsid w:val="00A96D97"/>
    <w:rsid w:val="00AA6964"/>
    <w:rsid w:val="00AF46AE"/>
    <w:rsid w:val="00B04F07"/>
    <w:rsid w:val="00B524FB"/>
    <w:rsid w:val="00B8026E"/>
    <w:rsid w:val="00B930DB"/>
    <w:rsid w:val="00BA78AE"/>
    <w:rsid w:val="00BB5495"/>
    <w:rsid w:val="00BD7463"/>
    <w:rsid w:val="00BE17AB"/>
    <w:rsid w:val="00BF4A41"/>
    <w:rsid w:val="00C02E24"/>
    <w:rsid w:val="00C21F33"/>
    <w:rsid w:val="00C2202F"/>
    <w:rsid w:val="00C346BC"/>
    <w:rsid w:val="00C61AEE"/>
    <w:rsid w:val="00C62B68"/>
    <w:rsid w:val="00C848E9"/>
    <w:rsid w:val="00CD508A"/>
    <w:rsid w:val="00D01D36"/>
    <w:rsid w:val="00D01F64"/>
    <w:rsid w:val="00D36E79"/>
    <w:rsid w:val="00D76253"/>
    <w:rsid w:val="00D777A6"/>
    <w:rsid w:val="00D867C7"/>
    <w:rsid w:val="00DA01E5"/>
    <w:rsid w:val="00DE0DE9"/>
    <w:rsid w:val="00E00C09"/>
    <w:rsid w:val="00E13EA6"/>
    <w:rsid w:val="00E55246"/>
    <w:rsid w:val="00E76232"/>
    <w:rsid w:val="00E847F2"/>
    <w:rsid w:val="00E91C77"/>
    <w:rsid w:val="00EA2C51"/>
    <w:rsid w:val="00EB3863"/>
    <w:rsid w:val="00EC4F2A"/>
    <w:rsid w:val="00EF15B1"/>
    <w:rsid w:val="00F03798"/>
    <w:rsid w:val="00F24ECB"/>
    <w:rsid w:val="00F73B94"/>
    <w:rsid w:val="00F744D3"/>
    <w:rsid w:val="00FA30B1"/>
    <w:rsid w:val="00FD7180"/>
    <w:rsid w:val="00FE776A"/>
    <w:rsid w:val="00FF58EB"/>
    <w:rsid w:val="00FF5BA5"/>
    <w:rsid w:val="02CF46F5"/>
    <w:rsid w:val="040251CE"/>
    <w:rsid w:val="0A327637"/>
    <w:rsid w:val="0E8F4289"/>
    <w:rsid w:val="107E17F2"/>
    <w:rsid w:val="138767C9"/>
    <w:rsid w:val="15DE510A"/>
    <w:rsid w:val="1680360B"/>
    <w:rsid w:val="1AB01BE3"/>
    <w:rsid w:val="1B024A1B"/>
    <w:rsid w:val="1CE77425"/>
    <w:rsid w:val="1D047A26"/>
    <w:rsid w:val="1D5C2A5E"/>
    <w:rsid w:val="1D9D3384"/>
    <w:rsid w:val="29804D3A"/>
    <w:rsid w:val="2F8512FC"/>
    <w:rsid w:val="2FBA0B1D"/>
    <w:rsid w:val="30552D1F"/>
    <w:rsid w:val="35B90DD2"/>
    <w:rsid w:val="373E4180"/>
    <w:rsid w:val="38B13980"/>
    <w:rsid w:val="3A244938"/>
    <w:rsid w:val="3BF67B9E"/>
    <w:rsid w:val="3D0051F7"/>
    <w:rsid w:val="3EFE7844"/>
    <w:rsid w:val="40A37834"/>
    <w:rsid w:val="433A7208"/>
    <w:rsid w:val="43AA224B"/>
    <w:rsid w:val="468C46BC"/>
    <w:rsid w:val="4AFB2C10"/>
    <w:rsid w:val="4D66553A"/>
    <w:rsid w:val="4DBD6EEB"/>
    <w:rsid w:val="500F5BCC"/>
    <w:rsid w:val="58893220"/>
    <w:rsid w:val="59E34532"/>
    <w:rsid w:val="5E726A6D"/>
    <w:rsid w:val="60291AE5"/>
    <w:rsid w:val="61601DAF"/>
    <w:rsid w:val="66B64D5D"/>
    <w:rsid w:val="67001946"/>
    <w:rsid w:val="6C5521B6"/>
    <w:rsid w:val="6E1B6F75"/>
    <w:rsid w:val="6E421B8B"/>
    <w:rsid w:val="6ED91E9B"/>
    <w:rsid w:val="741D7F6F"/>
    <w:rsid w:val="755B7BD7"/>
    <w:rsid w:val="75DA1EAA"/>
    <w:rsid w:val="76C84099"/>
    <w:rsid w:val="77820A2F"/>
    <w:rsid w:val="7A1E20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9"/>
    <w:autoRedefine/>
    <w:unhideWhenUsed/>
    <w:qFormat/>
    <w:uiPriority w:val="99"/>
    <w:pPr>
      <w:tabs>
        <w:tab w:val="center" w:pos="4153"/>
        <w:tab w:val="right" w:pos="8306"/>
      </w:tabs>
      <w:snapToGrid w:val="0"/>
      <w:jc w:val="left"/>
    </w:pPr>
    <w:rPr>
      <w:sz w:val="18"/>
      <w:szCs w:val="18"/>
    </w:rPr>
  </w:style>
  <w:style w:type="paragraph" w:styleId="3">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autoRedefine/>
    <w:unhideWhenUsed/>
    <w:qFormat/>
    <w:uiPriority w:val="99"/>
    <w:rPr>
      <w:color w:val="0563C1" w:themeColor="hyperlink"/>
      <w:u w:val="single"/>
      <w14:textFill>
        <w14:solidFill>
          <w14:schemeClr w14:val="hlink"/>
        </w14:solidFill>
      </w14:textFill>
    </w:rPr>
  </w:style>
  <w:style w:type="character" w:customStyle="1" w:styleId="7">
    <w:name w:val="未处理的提及1"/>
    <w:basedOn w:val="5"/>
    <w:autoRedefine/>
    <w:semiHidden/>
    <w:unhideWhenUsed/>
    <w:qFormat/>
    <w:uiPriority w:val="99"/>
    <w:rPr>
      <w:color w:val="605E5C"/>
      <w:shd w:val="clear" w:color="auto" w:fill="E1DFDD"/>
    </w:rPr>
  </w:style>
  <w:style w:type="character" w:customStyle="1" w:styleId="8">
    <w:name w:val="页眉 字符"/>
    <w:basedOn w:val="5"/>
    <w:link w:val="3"/>
    <w:autoRedefine/>
    <w:qFormat/>
    <w:uiPriority w:val="99"/>
    <w:rPr>
      <w:sz w:val="18"/>
      <w:szCs w:val="18"/>
    </w:rPr>
  </w:style>
  <w:style w:type="character" w:customStyle="1" w:styleId="9">
    <w:name w:val="页脚 字符"/>
    <w:basedOn w:val="5"/>
    <w:link w:val="2"/>
    <w:autoRedefine/>
    <w:qFormat/>
    <w:uiPriority w:val="99"/>
    <w:rPr>
      <w:sz w:val="18"/>
      <w:szCs w:val="18"/>
    </w:rPr>
  </w:style>
  <w:style w:type="paragraph" w:styleId="10">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170</Words>
  <Characters>972</Characters>
  <Lines>8</Lines>
  <Paragraphs>2</Paragraphs>
  <TotalTime>32</TotalTime>
  <ScaleCrop>false</ScaleCrop>
  <LinksUpToDate>false</LinksUpToDate>
  <CharactersWithSpaces>1140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2024-01-03T07:13:00Z</dcterms:created>
  <dc:creator>xie qiaoyi</dc:creator>
  <cp:lastModifiedBy>Jace</cp:lastModifiedBy>
  <dcterms:modified xsi:type="dcterms:W3CDTF">2024-01-12T03:23:00Z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C7FF01BCB1384572924E7D3C26A5B23C_13</vt:lpwstr>
  </property>
</Properties>
</file>