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6"/>
          <w:szCs w:val="36"/>
        </w:rPr>
      </w:pPr>
      <w:bookmarkStart w:id="0" w:name="_Toc223856295"/>
      <w:bookmarkStart w:id="1" w:name="_Toc278794808"/>
      <w:bookmarkStart w:id="2" w:name="_Toc501988145"/>
      <w:bookmarkStart w:id="3" w:name="_Toc278274487"/>
      <w:bookmarkStart w:id="4" w:name="_Toc7097"/>
      <w:r>
        <w:rPr>
          <w:rFonts w:hint="eastAsia"/>
          <w:b/>
          <w:bCs/>
          <w:sz w:val="36"/>
          <w:szCs w:val="36"/>
          <w:lang w:val="en-US" w:eastAsia="zh-CN"/>
        </w:rPr>
        <w:t>商务</w:t>
      </w:r>
      <w:r>
        <w:rPr>
          <w:rFonts w:hint="eastAsia"/>
          <w:b/>
          <w:bCs/>
          <w:sz w:val="36"/>
          <w:szCs w:val="36"/>
        </w:rPr>
        <w:t>技术评分表</w:t>
      </w:r>
    </w:p>
    <w:tbl>
      <w:tblPr>
        <w:tblStyle w:val="35"/>
        <w:tblpPr w:leftFromText="180" w:rightFromText="180" w:vertAnchor="page" w:horzAnchor="page" w:tblpX="1084" w:tblpY="19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795"/>
        <w:gridCol w:w="958"/>
        <w:gridCol w:w="446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评审项目</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满分值</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评分标准</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得分情况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招标代理服务目标</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15</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好：</w:t>
            </w:r>
            <w:r>
              <w:rPr>
                <w:rFonts w:hint="eastAsia" w:ascii="宋体" w:hAnsi="宋体" w:eastAsia="宋体" w:cs="宋体"/>
                <w:color w:val="auto"/>
                <w:sz w:val="21"/>
                <w:szCs w:val="21"/>
              </w:rPr>
              <w:t>理解项目需求，能对需求提出工作目标，完全满足项目需要，得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5分； </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理解项目需求，能对需求提出工作目标，较满足项目需要，得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分； </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不理解项目需求，提出的工作目标不满足项目需要，得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未提供方案</w:t>
            </w:r>
            <w:r>
              <w:rPr>
                <w:rFonts w:hint="eastAsia" w:ascii="宋体" w:hAnsi="宋体" w:eastAsia="宋体" w:cs="宋体"/>
                <w:color w:val="auto"/>
                <w:sz w:val="21"/>
                <w:szCs w:val="21"/>
                <w:lang w:val="en-US" w:eastAsia="zh-CN"/>
              </w:rPr>
              <w:t>内容的不得分</w:t>
            </w:r>
            <w:r>
              <w:rPr>
                <w:rFonts w:hint="eastAsia" w:ascii="宋体" w:hAnsi="宋体" w:eastAsia="宋体" w:cs="宋体"/>
                <w:color w:val="auto"/>
                <w:sz w:val="21"/>
                <w:szCs w:val="21"/>
              </w:rPr>
              <w:t>。</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招标代理服务</w:t>
            </w:r>
            <w:r>
              <w:rPr>
                <w:rFonts w:hint="eastAsia" w:ascii="宋体" w:hAnsi="宋体" w:eastAsia="宋体" w:cs="宋体"/>
                <w:color w:val="auto"/>
                <w:sz w:val="21"/>
                <w:szCs w:val="21"/>
                <w:lang w:val="en-US" w:eastAsia="zh-CN"/>
              </w:rPr>
              <w:t>策划</w:t>
            </w:r>
            <w:r>
              <w:rPr>
                <w:rFonts w:hint="eastAsia" w:ascii="宋体" w:hAnsi="宋体" w:eastAsia="宋体" w:cs="宋体"/>
                <w:color w:val="auto"/>
                <w:sz w:val="21"/>
                <w:szCs w:val="21"/>
              </w:rPr>
              <w:t>方案</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1"/>
                <w:szCs w:val="21"/>
                <w:lang w:val="en-US"/>
              </w:rPr>
            </w:pPr>
            <w:r>
              <w:rPr>
                <w:rFonts w:hint="eastAsia" w:ascii="宋体" w:hAnsi="宋体" w:cs="宋体"/>
                <w:color w:val="auto"/>
                <w:sz w:val="21"/>
                <w:szCs w:val="21"/>
                <w:lang w:val="en-US" w:eastAsia="zh-CN"/>
              </w:rPr>
              <w:t>20</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好：</w:t>
            </w:r>
            <w:r>
              <w:rPr>
                <w:rFonts w:hint="eastAsia" w:ascii="宋体" w:hAnsi="宋体" w:eastAsia="宋体" w:cs="宋体"/>
                <w:color w:val="auto"/>
                <w:sz w:val="21"/>
                <w:szCs w:val="21"/>
              </w:rPr>
              <w:t>方案内容详细、</w:t>
            </w:r>
            <w:r>
              <w:rPr>
                <w:rFonts w:hint="eastAsia" w:ascii="宋体" w:hAnsi="宋体" w:eastAsia="宋体" w:cs="宋体"/>
                <w:color w:val="auto"/>
                <w:sz w:val="21"/>
                <w:szCs w:val="21"/>
                <w:lang w:val="en-US" w:eastAsia="zh-CN"/>
              </w:rPr>
              <w:t>科学</w:t>
            </w:r>
            <w:r>
              <w:rPr>
                <w:rFonts w:hint="eastAsia" w:ascii="宋体" w:hAnsi="宋体" w:eastAsia="宋体" w:cs="宋体"/>
                <w:color w:val="auto"/>
                <w:sz w:val="21"/>
                <w:szCs w:val="21"/>
              </w:rPr>
              <w:t>合理,针对性</w:t>
            </w:r>
            <w:r>
              <w:rPr>
                <w:rFonts w:hint="eastAsia" w:ascii="宋体" w:hAnsi="宋体" w:eastAsia="宋体" w:cs="宋体"/>
                <w:color w:val="auto"/>
                <w:sz w:val="21"/>
                <w:szCs w:val="21"/>
                <w:lang w:val="en-US" w:eastAsia="zh-CN"/>
              </w:rPr>
              <w:t>高</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保障</w:t>
            </w:r>
            <w:r>
              <w:rPr>
                <w:rFonts w:hint="eastAsia" w:ascii="宋体" w:hAnsi="宋体" w:eastAsia="宋体" w:cs="宋体"/>
                <w:color w:val="auto"/>
                <w:sz w:val="21"/>
                <w:szCs w:val="21"/>
              </w:rPr>
              <w:t>性</w:t>
            </w:r>
            <w:r>
              <w:rPr>
                <w:rFonts w:hint="eastAsia" w:ascii="宋体" w:hAnsi="宋体" w:eastAsia="宋体" w:cs="宋体"/>
                <w:color w:val="auto"/>
                <w:sz w:val="21"/>
                <w:szCs w:val="21"/>
                <w:lang w:val="en-US" w:eastAsia="zh-CN"/>
              </w:rPr>
              <w:t>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方案内容较详细、合理，针对性</w:t>
            </w:r>
            <w:r>
              <w:rPr>
                <w:rFonts w:hint="eastAsia" w:ascii="宋体" w:hAnsi="宋体" w:eastAsia="宋体" w:cs="宋体"/>
                <w:color w:val="auto"/>
                <w:sz w:val="21"/>
                <w:szCs w:val="21"/>
                <w:lang w:val="en-US" w:eastAsia="zh-CN"/>
              </w:rPr>
              <w:t>较高</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保障</w:t>
            </w:r>
            <w:r>
              <w:rPr>
                <w:rFonts w:hint="eastAsia" w:ascii="宋体" w:hAnsi="宋体" w:eastAsia="宋体" w:cs="宋体"/>
                <w:color w:val="auto"/>
                <w:sz w:val="21"/>
                <w:szCs w:val="21"/>
              </w:rPr>
              <w:t>性</w:t>
            </w:r>
            <w:r>
              <w:rPr>
                <w:rFonts w:hint="eastAsia" w:ascii="宋体" w:hAnsi="宋体" w:eastAsia="宋体" w:cs="宋体"/>
                <w:color w:val="auto"/>
                <w:sz w:val="21"/>
                <w:szCs w:val="21"/>
                <w:lang w:val="en-US" w:eastAsia="zh-CN"/>
              </w:rPr>
              <w:t>较强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方案内容不</w:t>
            </w:r>
            <w:r>
              <w:rPr>
                <w:rFonts w:hint="eastAsia" w:ascii="宋体" w:hAnsi="宋体" w:eastAsia="宋体" w:cs="宋体"/>
                <w:color w:val="auto"/>
                <w:sz w:val="21"/>
                <w:szCs w:val="21"/>
                <w:lang w:val="en-US" w:eastAsia="zh-CN"/>
              </w:rPr>
              <w:t>完整</w:t>
            </w:r>
            <w:r>
              <w:rPr>
                <w:rFonts w:hint="eastAsia" w:ascii="宋体" w:hAnsi="宋体" w:eastAsia="宋体" w:cs="宋体"/>
                <w:color w:val="auto"/>
                <w:sz w:val="21"/>
                <w:szCs w:val="21"/>
              </w:rPr>
              <w:t>、针对性</w:t>
            </w:r>
            <w:r>
              <w:rPr>
                <w:rFonts w:hint="eastAsia" w:ascii="宋体" w:hAnsi="宋体" w:eastAsia="宋体" w:cs="宋体"/>
                <w:color w:val="auto"/>
                <w:sz w:val="21"/>
                <w:szCs w:val="21"/>
                <w:lang w:val="en-US" w:eastAsia="zh-CN"/>
              </w:rPr>
              <w:t>一般，保障</w:t>
            </w:r>
            <w:r>
              <w:rPr>
                <w:rFonts w:hint="eastAsia" w:ascii="宋体" w:hAnsi="宋体" w:eastAsia="宋体" w:cs="宋体"/>
                <w:color w:val="auto"/>
                <w:sz w:val="21"/>
                <w:szCs w:val="21"/>
              </w:rPr>
              <w:t>性</w:t>
            </w:r>
            <w:r>
              <w:rPr>
                <w:rFonts w:hint="eastAsia" w:ascii="宋体" w:hAnsi="宋体" w:eastAsia="宋体" w:cs="宋体"/>
                <w:color w:val="auto"/>
                <w:sz w:val="21"/>
                <w:szCs w:val="21"/>
                <w:lang w:val="en-US" w:eastAsia="zh-CN"/>
              </w:rPr>
              <w:t>不强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未提供方案</w:t>
            </w:r>
            <w:r>
              <w:rPr>
                <w:rFonts w:hint="eastAsia" w:ascii="宋体" w:hAnsi="宋体" w:eastAsia="宋体" w:cs="宋体"/>
                <w:color w:val="auto"/>
                <w:sz w:val="21"/>
                <w:szCs w:val="21"/>
                <w:lang w:val="en-US" w:eastAsia="zh-CN"/>
              </w:rPr>
              <w:t>内容的不得分</w:t>
            </w:r>
            <w:r>
              <w:rPr>
                <w:rFonts w:hint="eastAsia" w:ascii="宋体" w:hAnsi="宋体" w:eastAsia="宋体" w:cs="宋体"/>
                <w:color w:val="auto"/>
                <w:sz w:val="21"/>
                <w:szCs w:val="21"/>
              </w:rPr>
              <w:t>。</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进度控制措施</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好：</w:t>
            </w:r>
            <w:r>
              <w:rPr>
                <w:rFonts w:hint="eastAsia" w:ascii="宋体" w:hAnsi="宋体" w:eastAsia="宋体" w:cs="宋体"/>
                <w:color w:val="auto"/>
                <w:sz w:val="21"/>
                <w:szCs w:val="21"/>
              </w:rPr>
              <w:t>进度控制措施完善，有针对性和可操作性，得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 xml:space="preserve">分； </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进度控制措施适中，有一定的针对性和可操作性，得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分； </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进度控制措施较差，不符合本项目要求，不具备可操作性，得2.5分</w:t>
            </w:r>
          </w:p>
          <w:p>
            <w:pPr>
              <w:pStyle w:val="65"/>
              <w:keepNext w:val="0"/>
              <w:keepLines w:val="0"/>
              <w:pageBreakBefore w:val="0"/>
              <w:widowControl/>
              <w:numPr>
                <w:ilvl w:val="0"/>
                <w:numId w:val="0"/>
              </w:numPr>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未提供方案</w:t>
            </w:r>
            <w:r>
              <w:rPr>
                <w:rFonts w:hint="eastAsia" w:ascii="宋体" w:hAnsi="宋体" w:eastAsia="宋体" w:cs="宋体"/>
                <w:color w:val="auto"/>
                <w:sz w:val="21"/>
                <w:szCs w:val="21"/>
                <w:lang w:val="en-US" w:eastAsia="zh-CN"/>
              </w:rPr>
              <w:t>内容的不得分</w:t>
            </w:r>
            <w:r>
              <w:rPr>
                <w:rFonts w:hint="eastAsia" w:ascii="宋体" w:hAnsi="宋体" w:eastAsia="宋体" w:cs="宋体"/>
                <w:color w:val="auto"/>
                <w:sz w:val="21"/>
                <w:szCs w:val="21"/>
              </w:rPr>
              <w:t>。</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避免招标投诉的措施及处理投诉方案</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10</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好：</w:t>
            </w:r>
            <w:r>
              <w:rPr>
                <w:rFonts w:hint="eastAsia" w:ascii="宋体" w:hAnsi="宋体" w:eastAsia="宋体" w:cs="宋体"/>
                <w:color w:val="auto"/>
                <w:sz w:val="21"/>
                <w:szCs w:val="21"/>
              </w:rPr>
              <w:t>避免投诉的措施可行</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投诉处理方案合理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避免投诉的措施</w:t>
            </w:r>
            <w:r>
              <w:rPr>
                <w:rFonts w:hint="eastAsia" w:ascii="宋体" w:hAnsi="宋体" w:eastAsia="宋体" w:cs="宋体"/>
                <w:color w:val="auto"/>
                <w:sz w:val="21"/>
                <w:szCs w:val="21"/>
                <w:lang w:val="en-US" w:eastAsia="zh-CN"/>
              </w:rPr>
              <w:t>基本可行，</w:t>
            </w:r>
            <w:r>
              <w:rPr>
                <w:rFonts w:hint="eastAsia" w:ascii="宋体" w:hAnsi="宋体" w:eastAsia="宋体" w:cs="宋体"/>
                <w:color w:val="auto"/>
                <w:sz w:val="21"/>
                <w:szCs w:val="21"/>
              </w:rPr>
              <w:t>处理投诉方案</w:t>
            </w:r>
            <w:r>
              <w:rPr>
                <w:rFonts w:hint="eastAsia" w:ascii="宋体" w:hAnsi="宋体" w:eastAsia="宋体" w:cs="宋体"/>
                <w:color w:val="auto"/>
                <w:sz w:val="21"/>
                <w:szCs w:val="21"/>
                <w:lang w:val="en-US" w:eastAsia="zh-CN"/>
              </w:rPr>
              <w:t>较</w:t>
            </w:r>
            <w:r>
              <w:rPr>
                <w:rFonts w:hint="eastAsia" w:ascii="宋体" w:hAnsi="宋体" w:eastAsia="宋体" w:cs="宋体"/>
                <w:color w:val="auto"/>
                <w:sz w:val="21"/>
                <w:szCs w:val="21"/>
              </w:rPr>
              <w:t>合理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避免投诉的措施</w:t>
            </w:r>
            <w:r>
              <w:rPr>
                <w:rFonts w:hint="eastAsia" w:ascii="宋体" w:hAnsi="宋体" w:eastAsia="宋体" w:cs="宋体"/>
                <w:color w:val="auto"/>
                <w:sz w:val="21"/>
                <w:szCs w:val="21"/>
                <w:lang w:val="en-US" w:eastAsia="zh-CN"/>
              </w:rPr>
              <w:t>弱</w:t>
            </w:r>
            <w:r>
              <w:rPr>
                <w:rFonts w:hint="eastAsia" w:ascii="宋体" w:hAnsi="宋体" w:eastAsia="宋体" w:cs="宋体"/>
                <w:color w:val="auto"/>
                <w:sz w:val="21"/>
                <w:szCs w:val="21"/>
              </w:rPr>
              <w:t>、处理投诉方案</w:t>
            </w:r>
            <w:r>
              <w:rPr>
                <w:rFonts w:hint="eastAsia" w:ascii="宋体" w:hAnsi="宋体" w:eastAsia="宋体" w:cs="宋体"/>
                <w:color w:val="auto"/>
                <w:sz w:val="21"/>
                <w:szCs w:val="21"/>
                <w:lang w:val="en-US" w:eastAsia="zh-CN"/>
              </w:rPr>
              <w:t>不完善</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未提供方案</w:t>
            </w:r>
            <w:r>
              <w:rPr>
                <w:rFonts w:hint="eastAsia" w:ascii="宋体" w:hAnsi="宋体" w:eastAsia="宋体" w:cs="宋体"/>
                <w:color w:val="auto"/>
                <w:sz w:val="21"/>
                <w:szCs w:val="21"/>
                <w:lang w:val="en-US" w:eastAsia="zh-CN"/>
              </w:rPr>
              <w:t>内容的不得分</w:t>
            </w:r>
            <w:r>
              <w:rPr>
                <w:rFonts w:hint="eastAsia" w:ascii="宋体" w:hAnsi="宋体" w:eastAsia="宋体" w:cs="宋体"/>
                <w:color w:val="auto"/>
                <w:sz w:val="21"/>
                <w:szCs w:val="21"/>
              </w:rPr>
              <w:t>。</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应急处理方案</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好：</w:t>
            </w:r>
            <w:r>
              <w:rPr>
                <w:rFonts w:hint="eastAsia" w:ascii="宋体" w:hAnsi="宋体" w:eastAsia="宋体" w:cs="宋体"/>
                <w:color w:val="auto"/>
                <w:sz w:val="21"/>
                <w:szCs w:val="21"/>
              </w:rPr>
              <w:t>方案思路清晰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措施得力</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操作性很强，得</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中：</w:t>
            </w:r>
            <w:r>
              <w:rPr>
                <w:rFonts w:hint="eastAsia" w:ascii="宋体" w:hAnsi="宋体" w:eastAsia="宋体" w:cs="宋体"/>
                <w:color w:val="auto"/>
                <w:sz w:val="21"/>
                <w:szCs w:val="21"/>
              </w:rPr>
              <w:t>方案思路较清晰，措施</w:t>
            </w:r>
            <w:r>
              <w:rPr>
                <w:rFonts w:hint="eastAsia" w:ascii="宋体" w:hAnsi="宋体" w:eastAsia="宋体" w:cs="宋体"/>
                <w:color w:val="auto"/>
                <w:sz w:val="21"/>
                <w:szCs w:val="21"/>
                <w:lang w:val="en-US" w:eastAsia="zh-CN"/>
              </w:rPr>
              <w:t>基本可行</w:t>
            </w:r>
            <w:r>
              <w:rPr>
                <w:rFonts w:hint="eastAsia" w:ascii="宋体" w:hAnsi="宋体" w:eastAsia="宋体" w:cs="宋体"/>
                <w:color w:val="auto"/>
                <w:sz w:val="21"/>
                <w:szCs w:val="21"/>
              </w:rPr>
              <w:t>，操作性</w:t>
            </w:r>
            <w:r>
              <w:rPr>
                <w:rFonts w:hint="eastAsia" w:ascii="宋体" w:hAnsi="宋体" w:eastAsia="宋体" w:cs="宋体"/>
                <w:color w:val="auto"/>
                <w:sz w:val="21"/>
                <w:szCs w:val="21"/>
                <w:lang w:val="en-US" w:eastAsia="zh-CN"/>
              </w:rPr>
              <w:t>较强</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差：</w:t>
            </w:r>
            <w:r>
              <w:rPr>
                <w:rFonts w:hint="eastAsia" w:ascii="宋体" w:hAnsi="宋体" w:eastAsia="宋体" w:cs="宋体"/>
                <w:color w:val="auto"/>
                <w:sz w:val="21"/>
                <w:szCs w:val="21"/>
              </w:rPr>
              <w:t>方案思路不清晰，措施不</w:t>
            </w:r>
            <w:r>
              <w:rPr>
                <w:rFonts w:hint="eastAsia" w:ascii="宋体" w:hAnsi="宋体" w:eastAsia="宋体" w:cs="宋体"/>
                <w:color w:val="auto"/>
                <w:sz w:val="21"/>
                <w:szCs w:val="21"/>
                <w:lang w:val="en-US" w:eastAsia="zh-CN"/>
              </w:rPr>
              <w:t>可行</w:t>
            </w:r>
            <w:r>
              <w:rPr>
                <w:rFonts w:hint="eastAsia" w:ascii="宋体" w:hAnsi="宋体" w:eastAsia="宋体" w:cs="宋体"/>
                <w:color w:val="auto"/>
                <w:sz w:val="21"/>
                <w:szCs w:val="21"/>
              </w:rPr>
              <w:t>，操作性</w:t>
            </w:r>
            <w:r>
              <w:rPr>
                <w:rFonts w:hint="eastAsia" w:ascii="宋体" w:hAnsi="宋体" w:eastAsia="宋体" w:cs="宋体"/>
                <w:color w:val="auto"/>
                <w:sz w:val="21"/>
                <w:szCs w:val="21"/>
                <w:lang w:val="en-US" w:eastAsia="zh-CN"/>
              </w:rPr>
              <w:t>弱</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未提供方案</w:t>
            </w:r>
            <w:r>
              <w:rPr>
                <w:rFonts w:hint="eastAsia" w:ascii="宋体" w:hAnsi="宋体" w:eastAsia="宋体" w:cs="宋体"/>
                <w:color w:val="auto"/>
                <w:sz w:val="21"/>
                <w:szCs w:val="21"/>
                <w:lang w:val="en-US" w:eastAsia="zh-CN"/>
              </w:rPr>
              <w:t>内容的不得分</w:t>
            </w:r>
            <w:r>
              <w:rPr>
                <w:rFonts w:hint="eastAsia" w:ascii="宋体" w:hAnsi="宋体" w:eastAsia="宋体" w:cs="宋体"/>
                <w:color w:val="auto"/>
                <w:sz w:val="21"/>
                <w:szCs w:val="21"/>
              </w:rPr>
              <w:t>。</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0" w:type="auto"/>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795"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企业实力</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1、企业注册资本在500万或以上的，得10分。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2、企业注册资本在300万或以上的，得5分。</w:t>
            </w:r>
          </w:p>
          <w:p>
            <w:pPr>
              <w:pStyle w:val="65"/>
              <w:keepNext w:val="0"/>
              <w:keepLines w:val="0"/>
              <w:pageBreakBefore w:val="0"/>
              <w:widowControl/>
              <w:kinsoku/>
              <w:wordWrap/>
              <w:overflowPunct/>
              <w:topLinePunct w:val="0"/>
              <w:autoSpaceDE/>
              <w:autoSpaceDN/>
              <w:bidi w:val="0"/>
              <w:adjustRightInd/>
              <w:snapToGrid/>
              <w:spacing w:line="260" w:lineRule="exac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3、企业注册资本在100万或以上的，得2.5分。</w:t>
            </w: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3433" w:type="dxa"/>
            <w:gridSpan w:val="2"/>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小计</w:t>
            </w:r>
          </w:p>
        </w:tc>
        <w:tc>
          <w:tcPr>
            <w:tcW w:w="95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80</w:t>
            </w:r>
          </w:p>
        </w:tc>
        <w:tc>
          <w:tcPr>
            <w:tcW w:w="4467"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c>
          <w:tcPr>
            <w:tcW w:w="110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p>
        </w:tc>
      </w:tr>
      <w:bookmarkEnd w:id="0"/>
      <w:bookmarkEnd w:id="1"/>
      <w:bookmarkEnd w:id="2"/>
      <w:bookmarkEnd w:id="3"/>
      <w:bookmarkEnd w:id="4"/>
    </w:tbl>
    <w:p>
      <w:pPr>
        <w:spacing w:line="360" w:lineRule="auto"/>
        <w:jc w:val="both"/>
        <w:rPr>
          <w:rFonts w:hint="eastAsia" w:ascii="宋体" w:hAnsi="Times New Roman" w:eastAsia="宋体" w:cs="Times New Roman"/>
          <w:b/>
          <w:color w:val="auto"/>
          <w:sz w:val="44"/>
          <w:szCs w:val="44"/>
        </w:rPr>
      </w:pPr>
      <w:r>
        <w:rPr>
          <w:rFonts w:hint="eastAsia" w:ascii="宋体" w:hAnsi="Times New Roman" w:eastAsia="宋体" w:cs="Times New Roman"/>
          <w:b/>
          <w:color w:val="auto"/>
          <w:sz w:val="44"/>
          <w:szCs w:val="44"/>
          <w:lang w:val="en-US" w:eastAsia="zh-CN"/>
        </w:rPr>
        <w:br w:type="page"/>
      </w:r>
      <w:r>
        <w:rPr>
          <w:rFonts w:hint="eastAsia" w:ascii="宋体" w:hAnsi="Times New Roman" w:eastAsia="宋体" w:cs="Times New Roman"/>
          <w:b/>
          <w:color w:val="auto"/>
          <w:sz w:val="44"/>
          <w:szCs w:val="44"/>
          <w:lang w:val="en-US" w:eastAsia="zh-CN"/>
        </w:rPr>
        <w:t>报价</w:t>
      </w:r>
      <w:r>
        <w:rPr>
          <w:rFonts w:hint="eastAsia" w:ascii="宋体" w:hAnsi="Times New Roman" w:eastAsia="宋体" w:cs="Times New Roman"/>
          <w:b/>
          <w:color w:val="auto"/>
          <w:sz w:val="44"/>
          <w:szCs w:val="44"/>
        </w:rPr>
        <w:t>评审表</w:t>
      </w:r>
      <w:bookmarkStart w:id="5" w:name="_GoBack"/>
      <w:bookmarkEnd w:id="5"/>
    </w:p>
    <w:tbl>
      <w:tblPr>
        <w:tblStyle w:val="35"/>
        <w:tblW w:w="9497"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64"/>
        <w:gridCol w:w="1118"/>
        <w:gridCol w:w="511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99"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序号</w:t>
            </w:r>
          </w:p>
        </w:tc>
        <w:tc>
          <w:tcPr>
            <w:tcW w:w="126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评审项目</w:t>
            </w:r>
          </w:p>
        </w:tc>
        <w:tc>
          <w:tcPr>
            <w:tcW w:w="1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满分值</w:t>
            </w:r>
          </w:p>
        </w:tc>
        <w:tc>
          <w:tcPr>
            <w:tcW w:w="5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评分标准</w:t>
            </w:r>
          </w:p>
        </w:tc>
        <w:tc>
          <w:tcPr>
            <w:tcW w:w="129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得分</w:t>
            </w:r>
          </w:p>
          <w:p>
            <w:pPr>
              <w:pStyle w:val="65"/>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699"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1</w:t>
            </w:r>
          </w:p>
        </w:tc>
        <w:tc>
          <w:tcPr>
            <w:tcW w:w="1264"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eastAsia"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报价</w:t>
            </w:r>
          </w:p>
          <w:p>
            <w:pPr>
              <w:pStyle w:val="65"/>
              <w:jc w:val="center"/>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评审</w:t>
            </w:r>
          </w:p>
        </w:tc>
        <w:tc>
          <w:tcPr>
            <w:tcW w:w="1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jc w:val="center"/>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20</w:t>
            </w:r>
          </w:p>
        </w:tc>
        <w:tc>
          <w:tcPr>
            <w:tcW w:w="511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pStyle w:val="65"/>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（1）投标人按</w:t>
            </w:r>
            <w:r>
              <w:rPr>
                <w:rFonts w:hint="eastAsia" w:ascii="宋体" w:hAnsi="宋体" w:eastAsia="宋体" w:cs="宋体"/>
                <w:b w:val="0"/>
                <w:bCs w:val="0"/>
                <w:color w:val="auto"/>
                <w:sz w:val="22"/>
                <w:szCs w:val="22"/>
                <w:lang w:val="en-US" w:eastAsia="zh-CN"/>
              </w:rPr>
              <w:fldChar w:fldCharType="begin"/>
            </w:r>
            <w:r>
              <w:rPr>
                <w:rFonts w:hint="eastAsia" w:ascii="宋体" w:hAnsi="宋体" w:eastAsia="宋体" w:cs="宋体"/>
                <w:b w:val="0"/>
                <w:bCs w:val="0"/>
                <w:color w:val="auto"/>
                <w:sz w:val="22"/>
                <w:szCs w:val="22"/>
                <w:lang w:val="en-US" w:eastAsia="zh-CN"/>
              </w:rPr>
              <w:instrText xml:space="preserve"> HYPERLINK "http://www.sdpc.gov.cn/" </w:instrText>
            </w:r>
            <w:r>
              <w:rPr>
                <w:rFonts w:hint="eastAsia" w:ascii="宋体" w:hAnsi="宋体" w:eastAsia="宋体" w:cs="宋体"/>
                <w:b w:val="0"/>
                <w:bCs w:val="0"/>
                <w:color w:val="auto"/>
                <w:sz w:val="22"/>
                <w:szCs w:val="22"/>
                <w:lang w:val="en-US" w:eastAsia="zh-CN"/>
              </w:rPr>
              <w:fldChar w:fldCharType="separate"/>
            </w:r>
            <w:r>
              <w:rPr>
                <w:rFonts w:hint="eastAsia" w:ascii="宋体" w:hAnsi="宋体" w:eastAsia="宋体" w:cs="宋体"/>
                <w:b w:val="0"/>
                <w:bCs w:val="0"/>
                <w:color w:val="auto"/>
                <w:sz w:val="22"/>
                <w:szCs w:val="22"/>
                <w:lang w:val="en-US" w:eastAsia="zh-CN"/>
              </w:rPr>
              <w:t>国家计委</w:t>
            </w:r>
            <w:r>
              <w:rPr>
                <w:rFonts w:hint="eastAsia" w:ascii="宋体" w:hAnsi="宋体" w:eastAsia="宋体" w:cs="宋体"/>
                <w:b w:val="0"/>
                <w:bCs w:val="0"/>
                <w:color w:val="auto"/>
                <w:sz w:val="22"/>
                <w:szCs w:val="22"/>
                <w:lang w:val="en-US" w:eastAsia="zh-CN"/>
              </w:rPr>
              <w:fldChar w:fldCharType="end"/>
            </w:r>
            <w:r>
              <w:rPr>
                <w:rFonts w:hint="eastAsia" w:ascii="宋体" w:hAnsi="宋体" w:eastAsia="宋体" w:cs="宋体"/>
                <w:b w:val="0"/>
                <w:bCs w:val="0"/>
                <w:color w:val="auto"/>
                <w:sz w:val="22"/>
                <w:szCs w:val="22"/>
                <w:lang w:val="en-US" w:eastAsia="zh-CN"/>
              </w:rPr>
              <w:t>关于印发《招标代理服务收费管理暂行办法》的通知（计价格[2002]1980号）及《国家发展改革委关于降低部分建设项目收费标准规范收费行为等有关问题的通知》（发改价格[2011]534号）规定，以下浮率进行报价。</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2"/>
                <w:szCs w:val="22"/>
                <w:lang w:val="en-US" w:eastAsia="zh-CN"/>
              </w:rPr>
              <w:t>（2）</w:t>
            </w:r>
            <w:r>
              <w:rPr>
                <w:rFonts w:hint="eastAsia" w:ascii="宋体" w:hAnsi="宋体" w:eastAsia="宋体" w:cs="宋体"/>
                <w:color w:val="auto"/>
                <w:sz w:val="22"/>
                <w:szCs w:val="22"/>
              </w:rPr>
              <w:t>对通过初步审查的投标人，将评委会校核后的</w:t>
            </w:r>
            <w:r>
              <w:rPr>
                <w:rFonts w:hint="eastAsia" w:ascii="宋体" w:hAnsi="宋体" w:eastAsia="宋体" w:cs="宋体"/>
                <w:color w:val="auto"/>
                <w:sz w:val="22"/>
                <w:szCs w:val="22"/>
                <w:lang w:val="en-US" w:eastAsia="zh-CN"/>
              </w:rPr>
              <w:t>折扣率（1-</w:t>
            </w:r>
            <w:r>
              <w:rPr>
                <w:rFonts w:hint="eastAsia" w:ascii="宋体" w:hAnsi="宋体" w:eastAsia="宋体" w:cs="宋体"/>
                <w:b w:val="0"/>
                <w:bCs w:val="0"/>
                <w:color w:val="auto"/>
                <w:sz w:val="22"/>
                <w:szCs w:val="22"/>
                <w:lang w:val="en-US" w:eastAsia="zh-CN"/>
              </w:rPr>
              <w:t>下浮率</w:t>
            </w:r>
            <w:r>
              <w:rPr>
                <w:rFonts w:hint="eastAsia" w:ascii="宋体" w:hAnsi="宋体" w:eastAsia="宋体" w:cs="宋体"/>
                <w:color w:val="auto"/>
                <w:sz w:val="22"/>
                <w:szCs w:val="22"/>
                <w:lang w:val="en-US" w:eastAsia="zh-CN"/>
              </w:rPr>
              <w:t>）</w:t>
            </w:r>
            <w:r>
              <w:rPr>
                <w:rFonts w:hint="eastAsia" w:ascii="宋体" w:hAnsi="宋体" w:eastAsia="宋体" w:cs="宋体"/>
                <w:color w:val="auto"/>
                <w:sz w:val="22"/>
                <w:szCs w:val="22"/>
              </w:rPr>
              <w:t>为评标价格。取各评标价格的平均价的100%作为评标基准价格；等于基准价格的投标报价定为</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0分，高于基准价格的评标价格则按其比例，每高于1％减</w:t>
            </w:r>
            <w:r>
              <w:rPr>
                <w:rFonts w:hint="eastAsia" w:ascii="宋体" w:hAnsi="宋体" w:cs="宋体"/>
                <w:color w:val="auto"/>
                <w:sz w:val="22"/>
                <w:szCs w:val="22"/>
                <w:lang w:val="en-US" w:eastAsia="zh-CN"/>
              </w:rPr>
              <w:t>0.3</w:t>
            </w:r>
            <w:r>
              <w:rPr>
                <w:rFonts w:hint="eastAsia" w:ascii="宋体" w:hAnsi="宋体" w:eastAsia="宋体" w:cs="宋体"/>
                <w:color w:val="auto"/>
                <w:sz w:val="22"/>
                <w:szCs w:val="22"/>
              </w:rPr>
              <w:t>分，低于基准价格的评标价格也按其比例，每低于1％减</w:t>
            </w:r>
            <w:r>
              <w:rPr>
                <w:rFonts w:hint="eastAsia" w:ascii="宋体" w:hAnsi="宋体" w:cs="宋体"/>
                <w:color w:val="auto"/>
                <w:sz w:val="22"/>
                <w:szCs w:val="22"/>
                <w:lang w:val="en-US" w:eastAsia="zh-CN"/>
              </w:rPr>
              <w:t>0.2</w:t>
            </w:r>
            <w:r>
              <w:rPr>
                <w:rFonts w:hint="eastAsia" w:ascii="宋体" w:hAnsi="宋体" w:eastAsia="宋体" w:cs="宋体"/>
                <w:color w:val="auto"/>
                <w:sz w:val="22"/>
                <w:szCs w:val="22"/>
              </w:rPr>
              <w:t>分，如此类推，</w:t>
            </w:r>
            <w:r>
              <w:rPr>
                <w:rFonts w:hint="eastAsia" w:ascii="宋体" w:hAnsi="宋体" w:eastAsia="宋体" w:cs="宋体"/>
                <w:color w:val="auto"/>
                <w:sz w:val="22"/>
                <w:szCs w:val="22"/>
                <w:lang w:val="en-US" w:eastAsia="zh-CN"/>
              </w:rPr>
              <w:t>最低扣至0分</w:t>
            </w:r>
            <w:r>
              <w:rPr>
                <w:rFonts w:hint="eastAsia" w:ascii="宋体" w:hAnsi="宋体" w:eastAsia="宋体" w:cs="宋体"/>
                <w:color w:val="auto"/>
                <w:sz w:val="22"/>
                <w:szCs w:val="22"/>
              </w:rPr>
              <w:t>。</w:t>
            </w:r>
          </w:p>
        </w:tc>
        <w:tc>
          <w:tcPr>
            <w:tcW w:w="1298" w:type="dxa"/>
            <w:tcBorders>
              <w:top w:val="single" w:color="000000" w:sz="0" w:space="0"/>
              <w:left w:val="single" w:color="000000" w:sz="0" w:space="0"/>
              <w:bottom w:val="single" w:color="000000" w:sz="0" w:space="0"/>
              <w:right w:val="single" w:color="000000" w:sz="0" w:space="0"/>
            </w:tcBorders>
            <w:noWrap w:val="0"/>
            <w:tcMar>
              <w:top w:w="100" w:type="dxa"/>
              <w:bottom w:w="100" w:type="dxa"/>
            </w:tcMar>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lang w:val="en-US" w:eastAsia="zh-CN"/>
              </w:rPr>
            </w:pPr>
          </w:p>
        </w:tc>
      </w:tr>
    </w:tbl>
    <w:p>
      <w:pPr>
        <w:pStyle w:val="23"/>
        <w:spacing w:line="480" w:lineRule="auto"/>
        <w:rPr>
          <w:rFonts w:hint="eastAsia" w:ascii="宋体" w:hAnsi="宋体" w:eastAsia="宋体" w:cs="宋体"/>
          <w:b/>
          <w:bCs/>
          <w:color w:val="FF0000"/>
          <w:szCs w:val="21"/>
        </w:rPr>
      </w:pPr>
    </w:p>
    <w:tbl>
      <w:tblPr>
        <w:tblStyle w:val="36"/>
        <w:tblpPr w:leftFromText="180" w:rightFromText="180" w:vertAnchor="text" w:horzAnchor="page" w:tblpX="1285" w:tblpY="2326"/>
        <w:tblOverlap w:val="never"/>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2378" w:type="dxa"/>
            <w:noWrap w:val="0"/>
            <w:vAlign w:val="top"/>
          </w:tcPr>
          <w:p>
            <w:pPr>
              <w:jc w:val="both"/>
              <w:rPr>
                <w:rFonts w:hint="eastAsia" w:ascii="Times New Roman" w:hAnsi="Times New Roman" w:eastAsia="宋体" w:cs="Times New Roman"/>
                <w:color w:val="auto"/>
                <w:sz w:val="48"/>
                <w:szCs w:val="56"/>
                <w:vertAlign w:val="baseline"/>
                <w:lang w:val="en-US" w:eastAsia="zh-CN"/>
              </w:rPr>
            </w:pPr>
          </w:p>
          <w:p>
            <w:pPr>
              <w:jc w:val="center"/>
              <w:rPr>
                <w:rFonts w:hint="eastAsia" w:ascii="Times New Roman" w:hAnsi="Times New Roman" w:eastAsia="宋体" w:cs="Times New Roman"/>
                <w:color w:val="auto"/>
                <w:sz w:val="48"/>
                <w:szCs w:val="56"/>
                <w:vertAlign w:val="baseline"/>
                <w:lang w:val="en-US" w:eastAsia="zh-CN"/>
              </w:rPr>
            </w:pPr>
            <w:r>
              <w:rPr>
                <w:rFonts w:hint="eastAsia" w:ascii="Times New Roman" w:hAnsi="Times New Roman" w:eastAsia="宋体" w:cs="Times New Roman"/>
                <w:color w:val="auto"/>
                <w:sz w:val="48"/>
                <w:szCs w:val="56"/>
                <w:vertAlign w:val="baseline"/>
                <w:lang w:val="en-US" w:eastAsia="zh-CN"/>
              </w:rPr>
              <w:t>最终得分</w:t>
            </w:r>
          </w:p>
          <w:p>
            <w:pPr>
              <w:pStyle w:val="2"/>
              <w:rPr>
                <w:rFonts w:hint="default"/>
                <w:lang w:val="en-US" w:eastAsia="zh-CN"/>
              </w:rPr>
            </w:pPr>
            <w:r>
              <w:rPr>
                <w:rFonts w:hint="eastAsia" w:ascii="Times New Roman" w:hAnsi="Times New Roman" w:eastAsia="宋体" w:cs="Times New Roman"/>
                <w:color w:val="auto"/>
                <w:sz w:val="48"/>
                <w:szCs w:val="56"/>
                <w:vertAlign w:val="baseline"/>
                <w:lang w:val="en-US" w:eastAsia="zh-CN"/>
              </w:rPr>
              <w:t>（合计）</w:t>
            </w:r>
          </w:p>
        </w:tc>
        <w:tc>
          <w:tcPr>
            <w:tcW w:w="7136" w:type="dxa"/>
            <w:noWrap w:val="0"/>
            <w:vAlign w:val="top"/>
          </w:tcPr>
          <w:p>
            <w:pPr>
              <w:jc w:val="center"/>
              <w:rPr>
                <w:rFonts w:hint="eastAsia" w:ascii="Times New Roman" w:hAnsi="Times New Roman" w:eastAsia="宋体" w:cs="Times New Roman"/>
                <w:color w:val="auto"/>
                <w:sz w:val="48"/>
                <w:szCs w:val="56"/>
                <w:vertAlign w:val="baseline"/>
              </w:rPr>
            </w:pPr>
          </w:p>
        </w:tc>
      </w:tr>
    </w:tbl>
    <w:p>
      <w:pPr>
        <w:rPr>
          <w:rFonts w:hint="default" w:eastAsia="宋体"/>
          <w:color w:val="auto"/>
          <w:szCs w:val="24"/>
          <w:lang w:val="en-US" w:eastAsia="zh-CN"/>
        </w:rPr>
      </w:pPr>
      <w:r>
        <w:rPr>
          <w:rFonts w:hint="eastAsia"/>
          <w:color w:val="auto"/>
          <w:szCs w:val="24"/>
          <w:lang w:val="en-US" w:eastAsia="zh-CN"/>
        </w:rPr>
        <w:t>备注：投标报价得分=（评标基准报价/投标报价）x 20【注：满足遴选公告要求且报价最低的投标报价为评标基准价。】，综合评分得分最高者为本次采购的中标单位。</w:t>
      </w:r>
    </w:p>
    <w:sectPr>
      <w:footerReference r:id="rId5" w:type="first"/>
      <w:headerReference r:id="rId3" w:type="default"/>
      <w:footerReference r:id="rId4" w:type="default"/>
      <w:pgSz w:w="11906" w:h="16838"/>
      <w:pgMar w:top="1440" w:right="1080" w:bottom="1440" w:left="1080" w:header="851" w:footer="992" w:gutter="0"/>
      <w:pgNumType w:fmt="numberInDash"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eastAsia="宋体"/>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0</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OGQ2NTJkMTQ2OGJlOWYzM2NiNTE4NDIwZjc2NmUifQ=="/>
    <w:docVar w:name="KSO_WPS_MARK_KEY" w:val="367a0e52-92f5-431b-989e-368f81d47a5b"/>
  </w:docVars>
  <w:rsids>
    <w:rsidRoot w:val="00744AE2"/>
    <w:rsid w:val="000B0B73"/>
    <w:rsid w:val="001334F2"/>
    <w:rsid w:val="00204D5D"/>
    <w:rsid w:val="00257BBF"/>
    <w:rsid w:val="002F1E0C"/>
    <w:rsid w:val="00305EF5"/>
    <w:rsid w:val="004304D6"/>
    <w:rsid w:val="0044295D"/>
    <w:rsid w:val="0044655A"/>
    <w:rsid w:val="00514D82"/>
    <w:rsid w:val="005B7FCC"/>
    <w:rsid w:val="00620DB7"/>
    <w:rsid w:val="0084024F"/>
    <w:rsid w:val="008E5D06"/>
    <w:rsid w:val="00973688"/>
    <w:rsid w:val="00A50EF6"/>
    <w:rsid w:val="00A565CD"/>
    <w:rsid w:val="00B00F25"/>
    <w:rsid w:val="00BB30FA"/>
    <w:rsid w:val="00BC0C29"/>
    <w:rsid w:val="00D151B6"/>
    <w:rsid w:val="00E006A0"/>
    <w:rsid w:val="00EA460C"/>
    <w:rsid w:val="00EF6D44"/>
    <w:rsid w:val="00F40000"/>
    <w:rsid w:val="00F7597D"/>
    <w:rsid w:val="01010811"/>
    <w:rsid w:val="01EF3980"/>
    <w:rsid w:val="02FB4BB5"/>
    <w:rsid w:val="038D16E7"/>
    <w:rsid w:val="04D255BF"/>
    <w:rsid w:val="04DB160A"/>
    <w:rsid w:val="074D2A37"/>
    <w:rsid w:val="09C20606"/>
    <w:rsid w:val="0B0C43BC"/>
    <w:rsid w:val="0CEA2936"/>
    <w:rsid w:val="0D8A2613"/>
    <w:rsid w:val="0DD7244D"/>
    <w:rsid w:val="0F890F70"/>
    <w:rsid w:val="103260F2"/>
    <w:rsid w:val="11A3374D"/>
    <w:rsid w:val="11EC6980"/>
    <w:rsid w:val="12EE3EC4"/>
    <w:rsid w:val="151B4D60"/>
    <w:rsid w:val="162C63AB"/>
    <w:rsid w:val="1A0E0AF6"/>
    <w:rsid w:val="1A1C4455"/>
    <w:rsid w:val="1D5A03F0"/>
    <w:rsid w:val="1E4B5CFC"/>
    <w:rsid w:val="1F355FA5"/>
    <w:rsid w:val="208512E0"/>
    <w:rsid w:val="20C87781"/>
    <w:rsid w:val="218C01D2"/>
    <w:rsid w:val="219703D2"/>
    <w:rsid w:val="228B08AF"/>
    <w:rsid w:val="25290233"/>
    <w:rsid w:val="25AE684F"/>
    <w:rsid w:val="2779248C"/>
    <w:rsid w:val="289E40D2"/>
    <w:rsid w:val="29427B2A"/>
    <w:rsid w:val="2AF730F1"/>
    <w:rsid w:val="2BD83FFC"/>
    <w:rsid w:val="2D214C54"/>
    <w:rsid w:val="2E5F3743"/>
    <w:rsid w:val="30622E72"/>
    <w:rsid w:val="30B040C1"/>
    <w:rsid w:val="31440B67"/>
    <w:rsid w:val="333F1A9A"/>
    <w:rsid w:val="342A18F2"/>
    <w:rsid w:val="347B2BB9"/>
    <w:rsid w:val="35941976"/>
    <w:rsid w:val="36436FF5"/>
    <w:rsid w:val="36BD19ED"/>
    <w:rsid w:val="37927DAB"/>
    <w:rsid w:val="37ED5C91"/>
    <w:rsid w:val="39FA2F30"/>
    <w:rsid w:val="3CFC39AC"/>
    <w:rsid w:val="3D346110"/>
    <w:rsid w:val="3D504E6F"/>
    <w:rsid w:val="3ED92D3E"/>
    <w:rsid w:val="3F252342"/>
    <w:rsid w:val="40B66733"/>
    <w:rsid w:val="41000F67"/>
    <w:rsid w:val="413C4FF4"/>
    <w:rsid w:val="41E35DF5"/>
    <w:rsid w:val="421B789E"/>
    <w:rsid w:val="433012DF"/>
    <w:rsid w:val="43E035D6"/>
    <w:rsid w:val="445C6E33"/>
    <w:rsid w:val="44D77AAC"/>
    <w:rsid w:val="49267254"/>
    <w:rsid w:val="49EA1F5A"/>
    <w:rsid w:val="4BC10C51"/>
    <w:rsid w:val="4D483826"/>
    <w:rsid w:val="4E726A98"/>
    <w:rsid w:val="507455EA"/>
    <w:rsid w:val="527F1783"/>
    <w:rsid w:val="530443EF"/>
    <w:rsid w:val="55AA7742"/>
    <w:rsid w:val="560814A9"/>
    <w:rsid w:val="565C2041"/>
    <w:rsid w:val="59272099"/>
    <w:rsid w:val="59CC4A3A"/>
    <w:rsid w:val="5BCF0AD5"/>
    <w:rsid w:val="5CB621ED"/>
    <w:rsid w:val="5D263BBD"/>
    <w:rsid w:val="61614E76"/>
    <w:rsid w:val="63051356"/>
    <w:rsid w:val="661F70AE"/>
    <w:rsid w:val="66890278"/>
    <w:rsid w:val="66C936AD"/>
    <w:rsid w:val="66E856F1"/>
    <w:rsid w:val="674E4DCF"/>
    <w:rsid w:val="679C5D71"/>
    <w:rsid w:val="691E364C"/>
    <w:rsid w:val="692C3FBB"/>
    <w:rsid w:val="696819D7"/>
    <w:rsid w:val="69A73DCD"/>
    <w:rsid w:val="6A86285B"/>
    <w:rsid w:val="6AF2208F"/>
    <w:rsid w:val="6B5A1884"/>
    <w:rsid w:val="6B835891"/>
    <w:rsid w:val="6B992AED"/>
    <w:rsid w:val="6D7D3037"/>
    <w:rsid w:val="6EB921A2"/>
    <w:rsid w:val="6F3E5DD3"/>
    <w:rsid w:val="6F9E2F9A"/>
    <w:rsid w:val="701A591C"/>
    <w:rsid w:val="702B4DF4"/>
    <w:rsid w:val="72CE291B"/>
    <w:rsid w:val="731C0BFD"/>
    <w:rsid w:val="74CC7AD2"/>
    <w:rsid w:val="75116700"/>
    <w:rsid w:val="75E07504"/>
    <w:rsid w:val="76782775"/>
    <w:rsid w:val="7738471E"/>
    <w:rsid w:val="77F74955"/>
    <w:rsid w:val="783E3BE0"/>
    <w:rsid w:val="78472818"/>
    <w:rsid w:val="797B249C"/>
    <w:rsid w:val="7A4576E6"/>
    <w:rsid w:val="7A507C0C"/>
    <w:rsid w:val="7D962968"/>
    <w:rsid w:val="7DBE39F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autoRedefine/>
    <w:qFormat/>
    <w:uiPriority w:val="0"/>
    <w:pPr>
      <w:keepNext/>
      <w:keepLines/>
      <w:widowControl w:val="0"/>
      <w:spacing w:before="340" w:after="330" w:line="576" w:lineRule="auto"/>
      <w:jc w:val="both"/>
      <w:outlineLvl w:val="0"/>
    </w:pPr>
    <w:rPr>
      <w:rFonts w:ascii="Times New Roman" w:hAnsi="Times New Roman"/>
      <w:kern w:val="44"/>
      <w:sz w:val="44"/>
      <w:szCs w:val="44"/>
    </w:rPr>
  </w:style>
  <w:style w:type="paragraph" w:styleId="5">
    <w:name w:val="heading 2"/>
    <w:basedOn w:val="1"/>
    <w:next w:val="1"/>
    <w:autoRedefine/>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widowControl/>
      <w:spacing w:after="160" w:line="240" w:lineRule="exact"/>
      <w:jc w:val="left"/>
      <w:outlineLvl w:val="2"/>
    </w:pPr>
    <w:rPr>
      <w:rFonts w:ascii="Verdana" w:hAnsi="Verdana"/>
      <w:kern w:val="0"/>
      <w:szCs w:val="20"/>
      <w:lang w:eastAsia="en-US"/>
    </w:rPr>
  </w:style>
  <w:style w:type="paragraph" w:styleId="6">
    <w:name w:val="heading 4"/>
    <w:basedOn w:val="1"/>
    <w:next w:val="1"/>
    <w:autoRedefine/>
    <w:qFormat/>
    <w:uiPriority w:val="0"/>
    <w:pPr>
      <w:keepNext/>
      <w:keepLines/>
      <w:widowControl w:val="0"/>
      <w:spacing w:before="280" w:after="290" w:line="374" w:lineRule="auto"/>
      <w:outlineLvl w:val="3"/>
    </w:pPr>
    <w:rPr>
      <w:rFonts w:ascii="Arial" w:hAnsi="Arial" w:eastAsia="黑体"/>
      <w:b/>
      <w:bCs/>
      <w:sz w:val="28"/>
      <w:szCs w:val="28"/>
    </w:rPr>
  </w:style>
  <w:style w:type="character" w:default="1" w:styleId="37">
    <w:name w:val="Default Paragraph Font"/>
    <w:autoRedefine/>
    <w:qFormat/>
    <w:uiPriority w:val="0"/>
  </w:style>
  <w:style w:type="table" w:default="1" w:styleId="35">
    <w:name w:val="Normal Table"/>
    <w:autoRedefine/>
    <w:semiHidden/>
    <w:qFormat/>
    <w:uiPriority w:val="0"/>
    <w:tblPr>
      <w:tblCellMar>
        <w:top w:w="0" w:type="dxa"/>
        <w:left w:w="108" w:type="dxa"/>
        <w:bottom w:w="0" w:type="dxa"/>
        <w:right w:w="108" w:type="dxa"/>
      </w:tblCellMar>
    </w:tblPr>
  </w:style>
  <w:style w:type="paragraph" w:styleId="2">
    <w:name w:val="Plain Text"/>
    <w:basedOn w:val="1"/>
    <w:next w:val="1"/>
    <w:autoRedefine/>
    <w:qFormat/>
    <w:uiPriority w:val="0"/>
    <w:rPr>
      <w:rFonts w:ascii="宋体"/>
      <w:szCs w:val="21"/>
    </w:rPr>
  </w:style>
  <w:style w:type="paragraph" w:styleId="7">
    <w:name w:val="toc 7"/>
    <w:basedOn w:val="1"/>
    <w:next w:val="1"/>
    <w:autoRedefine/>
    <w:qFormat/>
    <w:uiPriority w:val="0"/>
    <w:pPr>
      <w:ind w:left="1260"/>
      <w:jc w:val="left"/>
    </w:pPr>
    <w:rPr>
      <w:sz w:val="18"/>
      <w:szCs w:val="18"/>
    </w:rPr>
  </w:style>
  <w:style w:type="paragraph" w:styleId="8">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lang w:bidi="ar-SA"/>
    </w:rPr>
  </w:style>
  <w:style w:type="paragraph" w:styleId="10">
    <w:name w:val="Document Map"/>
    <w:basedOn w:val="1"/>
    <w:autoRedefine/>
    <w:qFormat/>
    <w:uiPriority w:val="0"/>
    <w:pPr>
      <w:widowControl/>
      <w:shd w:val="clear" w:color="auto" w:fill="000080"/>
      <w:jc w:val="left"/>
    </w:pPr>
    <w:rPr>
      <w:kern w:val="0"/>
      <w:szCs w:val="20"/>
    </w:rPr>
  </w:style>
  <w:style w:type="paragraph" w:styleId="11">
    <w:name w:val="annotation text"/>
    <w:basedOn w:val="1"/>
    <w:autoRedefine/>
    <w:qFormat/>
    <w:uiPriority w:val="0"/>
    <w:pPr>
      <w:jc w:val="left"/>
    </w:pPr>
    <w:rPr>
      <w:szCs w:val="24"/>
    </w:rPr>
  </w:style>
  <w:style w:type="paragraph" w:styleId="12">
    <w:name w:val="Body Text 3"/>
    <w:basedOn w:val="1"/>
    <w:autoRedefine/>
    <w:qFormat/>
    <w:uiPriority w:val="0"/>
    <w:pPr>
      <w:spacing w:after="120"/>
    </w:pPr>
    <w:rPr>
      <w:sz w:val="16"/>
      <w:szCs w:val="16"/>
    </w:rPr>
  </w:style>
  <w:style w:type="paragraph" w:styleId="13">
    <w:name w:val="Closing"/>
    <w:basedOn w:val="1"/>
    <w:autoRedefine/>
    <w:qFormat/>
    <w:uiPriority w:val="0"/>
    <w:pPr>
      <w:ind w:left="2100" w:leftChars="2100"/>
    </w:pPr>
    <w:rPr>
      <w:rFonts w:ascii="宋体"/>
      <w:color w:val="000000"/>
      <w:sz w:val="24"/>
      <w:szCs w:val="20"/>
    </w:rPr>
  </w:style>
  <w:style w:type="paragraph" w:styleId="14">
    <w:name w:val="Body Text"/>
    <w:basedOn w:val="1"/>
    <w:next w:val="1"/>
    <w:autoRedefine/>
    <w:qFormat/>
    <w:uiPriority w:val="0"/>
    <w:pPr>
      <w:spacing w:line="360" w:lineRule="auto"/>
    </w:pPr>
    <w:rPr>
      <w:szCs w:val="20"/>
    </w:rPr>
  </w:style>
  <w:style w:type="paragraph" w:styleId="15">
    <w:name w:val="Body Text Indent"/>
    <w:basedOn w:val="1"/>
    <w:autoRedefine/>
    <w:qFormat/>
    <w:uiPriority w:val="0"/>
    <w:pPr>
      <w:ind w:firstLine="352" w:firstLineChars="352"/>
    </w:pPr>
    <w:rPr>
      <w:rFonts w:ascii="仿宋_GB2312" w:eastAsia="仿宋_GB2312"/>
      <w:sz w:val="32"/>
      <w:szCs w:val="20"/>
    </w:rPr>
  </w:style>
  <w:style w:type="paragraph" w:styleId="16">
    <w:name w:val="toc 5"/>
    <w:basedOn w:val="1"/>
    <w:next w:val="1"/>
    <w:autoRedefine/>
    <w:qFormat/>
    <w:uiPriority w:val="0"/>
    <w:pPr>
      <w:ind w:left="840"/>
      <w:jc w:val="left"/>
    </w:pPr>
    <w:rPr>
      <w:sz w:val="18"/>
      <w:szCs w:val="18"/>
    </w:rPr>
  </w:style>
  <w:style w:type="paragraph" w:styleId="17">
    <w:name w:val="toc 3"/>
    <w:basedOn w:val="1"/>
    <w:next w:val="1"/>
    <w:autoRedefine/>
    <w:qFormat/>
    <w:uiPriority w:val="0"/>
    <w:pPr>
      <w:tabs>
        <w:tab w:val="left" w:pos="900"/>
        <w:tab w:val="left" w:pos="1080"/>
      </w:tabs>
      <w:ind w:left="400" w:leftChars="400"/>
    </w:pPr>
    <w:rPr>
      <w:rFonts w:ascii="宋体"/>
      <w:i/>
      <w:iCs/>
      <w:szCs w:val="24"/>
    </w:rPr>
  </w:style>
  <w:style w:type="paragraph" w:styleId="18">
    <w:name w:val="toc 8"/>
    <w:basedOn w:val="1"/>
    <w:next w:val="1"/>
    <w:autoRedefine/>
    <w:qFormat/>
    <w:uiPriority w:val="0"/>
    <w:pPr>
      <w:ind w:left="1470"/>
      <w:jc w:val="left"/>
    </w:pPr>
    <w:rPr>
      <w:sz w:val="18"/>
      <w:szCs w:val="18"/>
    </w:rPr>
  </w:style>
  <w:style w:type="paragraph" w:styleId="19">
    <w:name w:val="Date"/>
    <w:basedOn w:val="1"/>
    <w:next w:val="1"/>
    <w:autoRedefine/>
    <w:qFormat/>
    <w:uiPriority w:val="0"/>
    <w:pPr>
      <w:ind w:left="2500" w:leftChars="2500"/>
    </w:pPr>
    <w:rPr>
      <w:szCs w:val="24"/>
    </w:rPr>
  </w:style>
  <w:style w:type="paragraph" w:styleId="20">
    <w:name w:val="Balloon Text"/>
    <w:basedOn w:val="1"/>
    <w:autoRedefine/>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szCs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rPr>
      <w:rFonts w:ascii="Times New Roman" w:hAnsi="Times New Roman"/>
      <w:szCs w:val="24"/>
    </w:rPr>
  </w:style>
  <w:style w:type="paragraph" w:styleId="24">
    <w:name w:val="toc 4"/>
    <w:basedOn w:val="1"/>
    <w:next w:val="1"/>
    <w:autoRedefine/>
    <w:qFormat/>
    <w:uiPriority w:val="0"/>
    <w:pPr>
      <w:ind w:left="630"/>
      <w:jc w:val="left"/>
    </w:pPr>
    <w:rPr>
      <w:sz w:val="18"/>
      <w:szCs w:val="18"/>
    </w:rPr>
  </w:style>
  <w:style w:type="paragraph" w:styleId="25">
    <w:name w:val="index heading"/>
    <w:basedOn w:val="1"/>
    <w:next w:val="26"/>
    <w:autoRedefine/>
    <w:qFormat/>
    <w:uiPriority w:val="0"/>
    <w:rPr>
      <w:rFonts w:ascii="Times New Roman" w:hAnsi="Times New Roman"/>
      <w:szCs w:val="20"/>
    </w:rPr>
  </w:style>
  <w:style w:type="paragraph" w:styleId="26">
    <w:name w:val="index 1"/>
    <w:basedOn w:val="1"/>
    <w:next w:val="1"/>
    <w:autoRedefine/>
    <w:qFormat/>
    <w:uiPriority w:val="0"/>
    <w:pPr>
      <w:tabs>
        <w:tab w:val="left" w:pos="7740"/>
      </w:tabs>
      <w:jc w:val="center"/>
    </w:pPr>
    <w:rPr>
      <w:rFonts w:ascii="仿宋" w:eastAsia="仿宋"/>
      <w:b/>
      <w:sz w:val="28"/>
      <w:szCs w:val="28"/>
    </w:rPr>
  </w:style>
  <w:style w:type="paragraph" w:styleId="27">
    <w:name w:val="toc 6"/>
    <w:basedOn w:val="1"/>
    <w:next w:val="1"/>
    <w:autoRedefine/>
    <w:qFormat/>
    <w:uiPriority w:val="0"/>
    <w:pPr>
      <w:ind w:left="1050"/>
      <w:jc w:val="left"/>
    </w:pPr>
    <w:rPr>
      <w:sz w:val="18"/>
      <w:szCs w:val="18"/>
    </w:rPr>
  </w:style>
  <w:style w:type="paragraph" w:styleId="28">
    <w:name w:val="Body Text Indent 3"/>
    <w:basedOn w:val="1"/>
    <w:autoRedefine/>
    <w:qFormat/>
    <w:uiPriority w:val="0"/>
    <w:pPr>
      <w:spacing w:line="360" w:lineRule="auto"/>
      <w:ind w:firstLine="200" w:firstLineChars="200"/>
    </w:pPr>
    <w:rPr>
      <w:szCs w:val="20"/>
    </w:rPr>
  </w:style>
  <w:style w:type="paragraph" w:styleId="29">
    <w:name w:val="toc 2"/>
    <w:basedOn w:val="1"/>
    <w:next w:val="1"/>
    <w:autoRedefine/>
    <w:qFormat/>
    <w:uiPriority w:val="0"/>
    <w:pPr>
      <w:tabs>
        <w:tab w:val="right" w:leader="dot" w:pos="8302"/>
      </w:tabs>
      <w:jc w:val="left"/>
    </w:pPr>
    <w:rPr>
      <w:rFonts w:ascii="仿宋_GB2312" w:eastAsia="仿宋_GB2312"/>
      <w:b/>
      <w:smallCaps/>
      <w:kern w:val="0"/>
      <w:szCs w:val="21"/>
    </w:rPr>
  </w:style>
  <w:style w:type="paragraph" w:styleId="30">
    <w:name w:val="toc 9"/>
    <w:basedOn w:val="1"/>
    <w:next w:val="1"/>
    <w:autoRedefine/>
    <w:qFormat/>
    <w:uiPriority w:val="0"/>
    <w:pPr>
      <w:ind w:left="1680"/>
      <w:jc w:val="left"/>
    </w:pPr>
    <w:rPr>
      <w:sz w:val="18"/>
      <w:szCs w:val="18"/>
    </w:rPr>
  </w:style>
  <w:style w:type="paragraph" w:styleId="31">
    <w:name w:val="Normal (Web)"/>
    <w:basedOn w:val="1"/>
    <w:autoRedefine/>
    <w:qFormat/>
    <w:uiPriority w:val="0"/>
    <w:pPr>
      <w:widowControl/>
      <w:spacing w:before="100" w:beforeAutospacing="1" w:after="100" w:afterAutospacing="1"/>
      <w:jc w:val="left"/>
    </w:pPr>
    <w:rPr>
      <w:rFonts w:ascii="宋体"/>
      <w:color w:val="000000"/>
      <w:kern w:val="0"/>
      <w:sz w:val="24"/>
      <w:szCs w:val="24"/>
    </w:rPr>
  </w:style>
  <w:style w:type="paragraph" w:styleId="32">
    <w:name w:val="Title"/>
    <w:basedOn w:val="1"/>
    <w:autoRedefine/>
    <w:qFormat/>
    <w:uiPriority w:val="0"/>
    <w:pPr>
      <w:spacing w:before="240" w:after="60"/>
      <w:jc w:val="center"/>
      <w:outlineLvl w:val="0"/>
    </w:pPr>
    <w:rPr>
      <w:rFonts w:ascii="Arial" w:hAnsi="Arial"/>
      <w:b/>
      <w:bCs/>
      <w:sz w:val="32"/>
      <w:szCs w:val="32"/>
    </w:rPr>
  </w:style>
  <w:style w:type="paragraph" w:styleId="33">
    <w:name w:val="annotation subject"/>
    <w:basedOn w:val="11"/>
    <w:next w:val="11"/>
    <w:autoRedefine/>
    <w:qFormat/>
    <w:uiPriority w:val="0"/>
    <w:rPr>
      <w:b/>
      <w:bCs/>
    </w:rPr>
  </w:style>
  <w:style w:type="paragraph" w:styleId="34">
    <w:name w:val="Body Text First Indent"/>
    <w:basedOn w:val="14"/>
    <w:autoRedefine/>
    <w:qFormat/>
    <w:uiPriority w:val="0"/>
    <w:pPr>
      <w:spacing w:after="120" w:line="240" w:lineRule="auto"/>
      <w:ind w:firstLine="100" w:firstLineChars="100"/>
    </w:pPr>
    <w:rPr>
      <w:szCs w:val="24"/>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ascii="Tahoma" w:hAnsi="Tahoma" w:eastAsia="宋体" w:cs="Tahoma"/>
      <w:b/>
      <w:bCs/>
      <w:spacing w:val="10"/>
      <w:sz w:val="24"/>
      <w:lang w:val="en-US" w:eastAsia="zh-CN" w:bidi="ar-SA"/>
    </w:rPr>
  </w:style>
  <w:style w:type="character" w:styleId="39">
    <w:name w:val="FollowedHyperlink"/>
    <w:autoRedefine/>
    <w:qFormat/>
    <w:uiPriority w:val="0"/>
    <w:rPr>
      <w:color w:val="954F72"/>
      <w:u w:val="single"/>
    </w:rPr>
  </w:style>
  <w:style w:type="character" w:styleId="40">
    <w:name w:val="Hyperlink"/>
    <w:basedOn w:val="37"/>
    <w:autoRedefine/>
    <w:qFormat/>
    <w:uiPriority w:val="0"/>
    <w:rPr>
      <w:color w:val="333333"/>
      <w:u w:val="none"/>
    </w:rPr>
  </w:style>
  <w:style w:type="character" w:styleId="41">
    <w:name w:val="annotation reference"/>
    <w:autoRedefine/>
    <w:qFormat/>
    <w:uiPriority w:val="0"/>
    <w:rPr>
      <w:sz w:val="21"/>
      <w:szCs w:val="21"/>
    </w:rPr>
  </w:style>
  <w:style w:type="character" w:customStyle="1" w:styleId="42">
    <w:name w:val="纯文本 Char"/>
    <w:autoRedefine/>
    <w:qFormat/>
    <w:uiPriority w:val="0"/>
    <w:rPr>
      <w:rFonts w:ascii="宋体" w:cs="Courier New"/>
      <w:kern w:val="2"/>
      <w:sz w:val="21"/>
      <w:szCs w:val="21"/>
      <w:lang w:bidi="ar-SA"/>
    </w:rPr>
  </w:style>
  <w:style w:type="character" w:customStyle="1" w:styleId="43">
    <w:name w:val="标题 3 Char"/>
    <w:autoRedefine/>
    <w:qFormat/>
    <w:uiPriority w:val="0"/>
    <w:rPr>
      <w:b/>
      <w:bCs/>
      <w:kern w:val="2"/>
      <w:sz w:val="32"/>
      <w:szCs w:val="32"/>
    </w:rPr>
  </w:style>
  <w:style w:type="character" w:customStyle="1" w:styleId="44">
    <w:name w:val="标题 2 Char1"/>
    <w:qFormat/>
    <w:uiPriority w:val="0"/>
    <w:rPr>
      <w:rFonts w:ascii="Calibri Light" w:hAnsi="Calibri Light" w:eastAsia="宋体" w:cs="Times New Roman"/>
      <w:b/>
      <w:bCs/>
      <w:kern w:val="2"/>
      <w:sz w:val="32"/>
      <w:szCs w:val="32"/>
      <w:lang w:bidi="ar-SA"/>
    </w:rPr>
  </w:style>
  <w:style w:type="character" w:customStyle="1" w:styleId="45">
    <w:name w:val="标题 1 Char1"/>
    <w:qFormat/>
    <w:uiPriority w:val="0"/>
    <w:rPr>
      <w:b/>
      <w:bCs/>
      <w:kern w:val="44"/>
      <w:sz w:val="44"/>
      <w:szCs w:val="44"/>
    </w:rPr>
  </w:style>
  <w:style w:type="character" w:customStyle="1" w:styleId="46">
    <w:name w:val="正文文本 Char1"/>
    <w:qFormat/>
    <w:uiPriority w:val="0"/>
    <w:rPr>
      <w:kern w:val="2"/>
      <w:sz w:val="21"/>
      <w:szCs w:val="22"/>
    </w:rPr>
  </w:style>
  <w:style w:type="character" w:customStyle="1" w:styleId="47">
    <w:name w:val="Font Style17"/>
    <w:qFormat/>
    <w:uiPriority w:val="0"/>
    <w:rPr>
      <w:rFonts w:ascii="黑体" w:eastAsia="黑体" w:cs="黑体"/>
      <w:sz w:val="28"/>
      <w:szCs w:val="28"/>
      <w:lang w:bidi="ar-SA"/>
    </w:rPr>
  </w:style>
  <w:style w:type="character" w:customStyle="1" w:styleId="48">
    <w:name w:val="标题 4 Char1"/>
    <w:qFormat/>
    <w:uiPriority w:val="0"/>
    <w:rPr>
      <w:rFonts w:ascii="Calibri Light" w:hAnsi="Calibri Light" w:eastAsia="宋体" w:cs="Times New Roman"/>
      <w:b/>
      <w:bCs/>
      <w:kern w:val="2"/>
      <w:sz w:val="28"/>
      <w:szCs w:val="28"/>
      <w:lang w:bidi="ar-SA"/>
    </w:rPr>
  </w:style>
  <w:style w:type="character" w:customStyle="1" w:styleId="49">
    <w:name w:val="正文文本缩进 Char1"/>
    <w:qFormat/>
    <w:uiPriority w:val="0"/>
    <w:rPr>
      <w:kern w:val="2"/>
      <w:sz w:val="21"/>
      <w:szCs w:val="22"/>
    </w:rPr>
  </w:style>
  <w:style w:type="paragraph" w:customStyle="1" w:styleId="50">
    <w:name w:val="_Style 49"/>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51">
    <w:name w:val="办公自动化专用标题"/>
    <w:basedOn w:val="32"/>
    <w:qFormat/>
    <w:uiPriority w:val="0"/>
    <w:pPr>
      <w:spacing w:line="560" w:lineRule="atLeast"/>
    </w:pPr>
    <w:rPr>
      <w:rFonts w:ascii="宋体" w:cs="Times New Roman"/>
      <w:bCs w:val="0"/>
      <w:sz w:val="44"/>
      <w:szCs w:val="20"/>
      <w:lang w:bidi="ar-SA"/>
    </w:rPr>
  </w:style>
  <w:style w:type="paragraph" w:customStyle="1" w:styleId="52">
    <w:name w:val="Char Char Char Char Char Char Char Char Char Char"/>
    <w:basedOn w:val="1"/>
    <w:qFormat/>
    <w:uiPriority w:val="0"/>
    <w:rPr>
      <w:rFonts w:ascii="Tahoma" w:hAnsi="Tahoma"/>
      <w:sz w:val="24"/>
      <w:szCs w:val="20"/>
    </w:rPr>
  </w:style>
  <w:style w:type="paragraph" w:customStyle="1" w:styleId="53">
    <w:name w:val="默认段落字体 Para Char"/>
    <w:basedOn w:val="1"/>
    <w:qFormat/>
    <w:uiPriority w:val="0"/>
    <w:rPr>
      <w:rFonts w:ascii="宋体"/>
      <w:b/>
      <w:sz w:val="28"/>
      <w:szCs w:val="28"/>
    </w:rPr>
  </w:style>
  <w:style w:type="paragraph" w:customStyle="1" w:styleId="54">
    <w:name w:val="图"/>
    <w:basedOn w:val="1"/>
    <w:qFormat/>
    <w:uiPriority w:val="0"/>
    <w:pPr>
      <w:keepNext/>
      <w:widowControl w:val="0"/>
      <w:adjustRightInd w:val="0"/>
      <w:snapToGrid w:val="0"/>
      <w:spacing w:before="60" w:after="60" w:line="300" w:lineRule="auto"/>
      <w:jc w:val="center"/>
    </w:pPr>
    <w:rPr>
      <w:rFonts w:ascii="Times New Roman" w:hAnsi="Times New Roman"/>
      <w:spacing w:val="20"/>
      <w:kern w:val="0"/>
      <w:sz w:val="24"/>
      <w:szCs w:val="20"/>
    </w:rPr>
  </w:style>
  <w:style w:type="paragraph" w:customStyle="1" w:styleId="55">
    <w:name w:val="普通 (Web)"/>
    <w:basedOn w:val="1"/>
    <w:qFormat/>
    <w:uiPriority w:val="0"/>
    <w:pPr>
      <w:widowControl/>
      <w:spacing w:before="100" w:beforeAutospacing="1" w:after="100" w:afterAutospacing="1"/>
      <w:jc w:val="left"/>
    </w:pPr>
    <w:rPr>
      <w:rFonts w:ascii="宋体"/>
      <w:kern w:val="0"/>
      <w:sz w:val="24"/>
      <w:szCs w:val="20"/>
    </w:rPr>
  </w:style>
  <w:style w:type="paragraph" w:customStyle="1" w:styleId="56">
    <w:name w:val="表格文字"/>
    <w:basedOn w:val="1"/>
    <w:qFormat/>
    <w:uiPriority w:val="0"/>
    <w:pPr>
      <w:spacing w:before="25" w:after="25"/>
      <w:jc w:val="left"/>
    </w:pPr>
    <w:rPr>
      <w:rFonts w:ascii="Times New Roman" w:hAnsi="Times New Roman"/>
      <w:bCs/>
      <w:spacing w:val="10"/>
      <w:kern w:val="0"/>
      <w:sz w:val="24"/>
      <w:szCs w:val="20"/>
    </w:rPr>
  </w:style>
  <w:style w:type="paragraph" w:customStyle="1" w:styleId="57">
    <w:name w:val="题注4"/>
    <w:basedOn w:val="1"/>
    <w:next w:val="9"/>
    <w:qFormat/>
    <w:uiPriority w:val="0"/>
    <w:pPr>
      <w:ind w:left="-62" w:leftChars="-64" w:right="-50" w:rightChars="-50" w:hanging="2"/>
      <w:jc w:val="center"/>
    </w:pPr>
    <w:rPr>
      <w:rFonts w:ascii="Times New Roman" w:hAnsi="Times New Roman"/>
      <w:b/>
      <w:color w:val="FF0000"/>
      <w:szCs w:val="21"/>
      <w:lang w:val="en-GB" w:eastAsia="en-GB"/>
    </w:rPr>
  </w:style>
  <w:style w:type="paragraph" w:customStyle="1" w:styleId="58">
    <w:name w:val="Char Char3"/>
    <w:basedOn w:val="1"/>
    <w:qFormat/>
    <w:uiPriority w:val="0"/>
    <w:rPr>
      <w:rFonts w:ascii="宋体"/>
      <w:b/>
      <w:sz w:val="28"/>
      <w:szCs w:val="28"/>
    </w:rPr>
  </w:style>
  <w:style w:type="paragraph" w:customStyle="1" w:styleId="59">
    <w:name w:val="Char Char Char Char Char Char Char"/>
    <w:basedOn w:val="1"/>
    <w:qFormat/>
    <w:uiPriority w:val="0"/>
    <w:pPr>
      <w:tabs>
        <w:tab w:val="left" w:pos="425"/>
      </w:tabs>
      <w:ind w:left="425" w:hanging="425"/>
    </w:pPr>
    <w:rPr>
      <w:rFonts w:ascii="Times New Roman" w:hAnsi="Times New Roman" w:eastAsia="仿宋_GB2312"/>
      <w:kern w:val="24"/>
      <w:sz w:val="24"/>
      <w:szCs w:val="24"/>
    </w:rPr>
  </w:style>
  <w:style w:type="paragraph" w:customStyle="1" w:styleId="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kern w:val="0"/>
      <w:szCs w:val="21"/>
    </w:rPr>
  </w:style>
  <w:style w:type="paragraph" w:customStyle="1" w:styleId="61">
    <w:name w:val="Char Char2"/>
    <w:basedOn w:val="1"/>
    <w:qFormat/>
    <w:uiPriority w:val="0"/>
    <w:rPr>
      <w:rFonts w:ascii="宋体"/>
      <w:b/>
      <w:sz w:val="28"/>
      <w:szCs w:val="28"/>
    </w:rPr>
  </w:style>
  <w:style w:type="paragraph" w:customStyle="1" w:styleId="62">
    <w:name w:val="题注5"/>
    <w:basedOn w:val="1"/>
    <w:next w:val="9"/>
    <w:qFormat/>
    <w:uiPriority w:val="0"/>
    <w:pPr>
      <w:jc w:val="center"/>
    </w:pPr>
    <w:rPr>
      <w:rFonts w:ascii="Times New Roman" w:hAnsi="Times New Roman"/>
      <w:b/>
      <w:color w:val="000000"/>
      <w:sz w:val="24"/>
      <w:szCs w:val="21"/>
    </w:rPr>
  </w:style>
  <w:style w:type="paragraph" w:customStyle="1" w:styleId="63">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65">
    <w:name w:val="Normal_30"/>
    <w:qFormat/>
    <w:uiPriority w:val="0"/>
    <w:rPr>
      <w:rFonts w:ascii="Times New Roman" w:hAnsi="Times New Roman" w:eastAsia="Times New Roman" w:cs="Times New Roman"/>
      <w:sz w:val="24"/>
      <w:szCs w:val="24"/>
      <w:lang w:val="en-US" w:eastAsia="zh-CN" w:bidi="ar-SA"/>
    </w:rPr>
  </w:style>
  <w:style w:type="paragraph" w:customStyle="1" w:styleId="66">
    <w:name w:val="公文正文"/>
    <w:qFormat/>
    <w:uiPriority w:val="0"/>
    <w:pPr>
      <w:widowControl w:val="0"/>
      <w:spacing w:line="360" w:lineRule="auto"/>
      <w:ind w:firstLine="629"/>
      <w:jc w:val="both"/>
    </w:pPr>
    <w:rPr>
      <w:rFonts w:ascii="等线" w:hAnsi="Courier New" w:eastAsia="等线" w:cs="Times New Roman"/>
      <w:color w:val="000000"/>
      <w:sz w:val="32"/>
      <w:lang w:val="en-US" w:eastAsia="zh-CN" w:bidi="ar-SA"/>
    </w:rPr>
  </w:style>
  <w:style w:type="paragraph" w:customStyle="1" w:styleId="67">
    <w:name w:val="正文_1"/>
    <w:qFormat/>
    <w:uiPriority w:val="0"/>
    <w:pPr>
      <w:widowControl w:val="0"/>
      <w:jc w:val="both"/>
    </w:pPr>
    <w:rPr>
      <w:rFonts w:ascii="Times New Roman" w:hAnsi="Times New Roman" w:eastAsia="等线 Light"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983</Words>
  <Characters>1040</Characters>
  <Lines>138</Lines>
  <Paragraphs>39</Paragraphs>
  <TotalTime>2</TotalTime>
  <ScaleCrop>false</ScaleCrop>
  <LinksUpToDate>false</LinksUpToDate>
  <CharactersWithSpaces>1045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2023-08-09T03:07:00Z</dcterms:created>
  <dc:creator>栾世晗</dc:creator>
  <cp:lastModifiedBy>陈国维</cp:lastModifiedBy>
  <cp:lastPrinted>2023-12-04T08:41:00Z</cp:lastPrinted>
  <dcterms:modified xsi:type="dcterms:W3CDTF">2024-04-19T07:39:44Z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830724C5904146EC9145C4A2A86A6A21</vt:lpwstr>
  </property>
</Properties>
</file>