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茂名滨海新区绿色化工和氢能产业园区安保服务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招标代理服务的公告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现我司下属子公司茂名滨海新城综合服务有限公司负责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茂名滨海新区绿色化工和氢能产业园区安保服务</w:t>
      </w:r>
      <w:r>
        <w:rPr>
          <w:rFonts w:hint="eastAsia" w:ascii="仿宋_GB2312" w:eastAsia="仿宋_GB2312"/>
          <w:sz w:val="32"/>
          <w:szCs w:val="32"/>
        </w:rPr>
        <w:t>的公开招标工作。为配合做好招标流程，现阶段公开向社会遴选该项目的招标代理单位。报名格式及要求详见附件，请各意向单位于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5月24日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茂名滨海新区绿色化工和氢能产业园区安保服务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4年</w:t>
      </w:r>
      <w:r>
        <w:rPr>
          <w:rFonts w:hint="eastAsia" w:ascii="仿宋_GB2312" w:eastAsia="仿宋_GB2312"/>
          <w:sz w:val="32"/>
          <w:szCs w:val="32"/>
          <w:lang w:eastAsia="zh-CN"/>
        </w:rPr>
        <w:t>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茂名滨海新区绿色化工和氢能产业园区安保服务</w:t>
            </w:r>
          </w:p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茂名滨海新区绿色化工和氢能产业园区安保服务</w:t>
            </w:r>
          </w:p>
          <w:p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茂名滨海新区绿色化工和氢能产业园区安保服务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招标工作，现择优选聘一家招标代理单位提供招标指导服务。选聘需综合考量招标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实际中标金额结合招标代理服务收费管理暂行办法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9750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2024年5月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17点前送达邮箱，邮箱地址：323431302@qq.com。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茂名滨海新区绿色化工和氢能产业园区安保服务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0500" cy="6782435"/>
            <wp:effectExtent l="0" t="0" r="2540" b="14605"/>
            <wp:docPr id="2" name="图片 2" descr="1715566357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55663572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8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412C8D"/>
    <w:rsid w:val="1D5C2A5E"/>
    <w:rsid w:val="1E054C4F"/>
    <w:rsid w:val="1F335508"/>
    <w:rsid w:val="1F690BB8"/>
    <w:rsid w:val="214C6115"/>
    <w:rsid w:val="29804D3A"/>
    <w:rsid w:val="2F8512FC"/>
    <w:rsid w:val="2FAF0BE6"/>
    <w:rsid w:val="30552D1F"/>
    <w:rsid w:val="30F71346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68C46BC"/>
    <w:rsid w:val="4A6B06F9"/>
    <w:rsid w:val="4AFB2C10"/>
    <w:rsid w:val="4C4709E2"/>
    <w:rsid w:val="4D66553A"/>
    <w:rsid w:val="4DBD6EEB"/>
    <w:rsid w:val="4DD053B8"/>
    <w:rsid w:val="569A59E8"/>
    <w:rsid w:val="58893220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  <w:rsid w:val="7F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820</Words>
  <Characters>880</Characters>
  <Lines>7</Lines>
  <Paragraphs>2</Paragraphs>
  <TotalTime>98</TotalTime>
  <ScaleCrop>false</ScaleCrop>
  <LinksUpToDate>false</LinksUpToDate>
  <CharactersWithSpaces>939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月月鸟</cp:lastModifiedBy>
  <dcterms:modified xsi:type="dcterms:W3CDTF">2024-05-21T07:03:06Z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CF70AAF83BC4498FBA5945D0FAF9FA31_13</vt:lpwstr>
  </property>
</Properties>
</file>