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9DD2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名滨海新区国省县道补种绿植项目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31EC0704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新城综合服务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茂名滨海新区国省县道补种绿植项目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磋商采购</w:t>
      </w:r>
      <w:r>
        <w:rPr>
          <w:rFonts w:hint="eastAsia" w:ascii="仿宋_GB2312" w:eastAsia="仿宋_GB2312"/>
          <w:sz w:val="32"/>
          <w:szCs w:val="32"/>
        </w:rPr>
        <w:t>工作。为配合做好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流程，现阶段公开向社会遴选该项目的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2024年8月29日17点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茂名滨海新区国省县道补种绿植项目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2024年8月26日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A1F0246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茂名滨海新区国省县道补种绿植项目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2024年8月26日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茂名滨海新区国省县道补种绿植项目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茂名滨海新区国省县道补种绿植项目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8561.01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2024年8月29日17点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茂名滨海新区国省县道补种绿植项目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6092190"/>
            <wp:effectExtent l="0" t="0" r="3175" b="3810"/>
            <wp:docPr id="1" name="图片 1" descr="1723446837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3446837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ACA6E82"/>
    <w:rsid w:val="1B024A1B"/>
    <w:rsid w:val="1CE77425"/>
    <w:rsid w:val="1D5C2A5E"/>
    <w:rsid w:val="1E054C4F"/>
    <w:rsid w:val="1F335508"/>
    <w:rsid w:val="1F690BB8"/>
    <w:rsid w:val="214C6115"/>
    <w:rsid w:val="22005046"/>
    <w:rsid w:val="278F0046"/>
    <w:rsid w:val="28A91541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52730AE9"/>
    <w:rsid w:val="569A59E8"/>
    <w:rsid w:val="56FE61D9"/>
    <w:rsid w:val="58893220"/>
    <w:rsid w:val="5903698A"/>
    <w:rsid w:val="59E34532"/>
    <w:rsid w:val="5BB26726"/>
    <w:rsid w:val="60291AE5"/>
    <w:rsid w:val="605D6E26"/>
    <w:rsid w:val="61601DAF"/>
    <w:rsid w:val="638A3118"/>
    <w:rsid w:val="63D315F6"/>
    <w:rsid w:val="653611F1"/>
    <w:rsid w:val="654042C5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C6B2A11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785</Words>
  <Characters>848</Characters>
  <Lines>7</Lines>
  <Paragraphs>2</Paragraphs>
  <TotalTime>19</TotalTime>
  <ScaleCrop>false</ScaleCrop>
  <LinksUpToDate>false</LinksUpToDate>
  <CharactersWithSpaces>913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2024-08-26T08:42:09Z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E93DFE682B0A4B0E9E8B61C576CD5065_13</vt:lpwstr>
  </property>
</Properties>
</file>