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茂茂名博贺渔港经济区二期工程概算审核及施工阶段全过程造价咨询服务招标代理</w:t>
            </w:r>
            <w:r>
              <w:rPr>
                <w:rFonts w:hint="eastAsia" w:ascii="方正小标宋简体" w:eastAsia="方正小标宋简体"/>
                <w:sz w:val="36"/>
                <w:szCs w:val="36"/>
                <w:highlight w:val="none"/>
                <w:lang w:val="en-US" w:eastAsia="zh-CN"/>
              </w:rPr>
              <w:t>服务</w:t>
            </w:r>
            <w:r>
              <w:rPr>
                <w:rFonts w:hint="eastAsia" w:ascii="方正小标宋简体" w:eastAsia="方正小标宋简体"/>
                <w:sz w:val="36"/>
                <w:szCs w:val="36"/>
                <w:highlight w:val="none"/>
              </w:rPr>
              <w:t>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业主单位发函时间：2024年</w:t>
            </w:r>
            <w:r>
              <w:rPr>
                <w:rFonts w:hint="eastAsia" w:ascii="宋体" w:hAnsi="宋体" w:cs="宋体"/>
                <w:color w:val="000000"/>
                <w:kern w:val="0"/>
                <w:sz w:val="28"/>
                <w:szCs w:val="28"/>
                <w:highlight w:val="none"/>
                <w:lang w:val="en-US" w:eastAsia="zh-CN"/>
              </w:rPr>
              <w:t>10</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25</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eastAsia" w:ascii="宋体" w:hAnsi="宋体" w:eastAsia="宋体" w:cs="仿宋"/>
                <w:sz w:val="24"/>
                <w:szCs w:val="24"/>
                <w:highlight w:val="none"/>
                <w:lang w:eastAsia="zh-CN"/>
              </w:rPr>
            </w:pPr>
            <w:r>
              <w:rPr>
                <w:rFonts w:hint="eastAsia" w:ascii="宋体" w:hAnsi="宋体" w:eastAsia="宋体" w:cs="仿宋"/>
                <w:sz w:val="24"/>
                <w:szCs w:val="24"/>
                <w:highlight w:val="none"/>
                <w:lang w:eastAsia="zh-CN"/>
              </w:rPr>
              <w:t>茂名博贺渔港经济区二期工程概算审核及施工阶段全过程造价咨询服务</w:t>
            </w:r>
          </w:p>
        </w:tc>
      </w:tr>
      <w:tr w14:paraId="0AC44F15">
        <w:tblPrEx>
          <w:tblCellMar>
            <w:top w:w="0" w:type="dxa"/>
            <w:left w:w="108" w:type="dxa"/>
            <w:bottom w:w="0" w:type="dxa"/>
            <w:right w:w="108" w:type="dxa"/>
          </w:tblCellMar>
        </w:tblPrEx>
        <w:trPr>
          <w:gridAfter w:val="1"/>
          <w:wAfter w:w="176" w:type="dxa"/>
          <w:trHeight w:val="2306"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rPr>
              <w:t>茂名滨海新区“百千万工程”博贺渔港经济区建设项</w:t>
            </w:r>
            <w:r>
              <w:rPr>
                <w:rFonts w:hint="eastAsia" w:ascii="宋体" w:hAnsi="宋体" w:cs="仿宋"/>
                <w:sz w:val="24"/>
                <w:szCs w:val="24"/>
                <w:highlight w:val="none"/>
                <w:lang w:val="en-US" w:eastAsia="zh-CN"/>
              </w:rPr>
              <w:t>目</w:t>
            </w:r>
            <w:r>
              <w:rPr>
                <w:rFonts w:hint="eastAsia" w:ascii="宋体" w:hAnsi="宋体" w:eastAsia="宋体" w:cs="仿宋"/>
                <w:sz w:val="24"/>
                <w:szCs w:val="24"/>
                <w:highlight w:val="none"/>
              </w:rPr>
              <w:t>涉及渔港基础设施和园区基础设施两大领域,共包含 13个子项目。包括茂名博贺渔港经济区一期工程、市政道路工程(一阶段)、市政道路工程(二阶段)、污水处理站工程、垃圾转运站工程、应急指挥词度中心、能源保隐工程、制冷保障工程、物资配套基础设施(东区)、物资配套基础设施(西区)、固际水产品贸易中心、渔需物资交易中心、游港附属基础设施</w:t>
            </w:r>
            <w:r>
              <w:rPr>
                <w:rFonts w:hint="eastAsia" w:ascii="宋体" w:hAnsi="宋体" w:cs="仿宋"/>
                <w:sz w:val="24"/>
                <w:szCs w:val="24"/>
                <w:highlight w:val="none"/>
                <w:lang w:eastAsia="zh-CN"/>
              </w:rPr>
              <w:t>。</w:t>
            </w:r>
          </w:p>
        </w:tc>
      </w:tr>
      <w:tr w14:paraId="50301CA6">
        <w:tblPrEx>
          <w:tblCellMar>
            <w:top w:w="0" w:type="dxa"/>
            <w:left w:w="108" w:type="dxa"/>
            <w:bottom w:w="0" w:type="dxa"/>
            <w:right w:w="108" w:type="dxa"/>
          </w:tblCellMar>
        </w:tblPrEx>
        <w:trPr>
          <w:gridAfter w:val="1"/>
          <w:wAfter w:w="176" w:type="dxa"/>
          <w:trHeight w:val="2839"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557"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最高上限价4.8501万</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费用</w:t>
            </w:r>
            <w:r>
              <w:rPr>
                <w:rFonts w:hint="eastAsia" w:ascii="宋体" w:hAnsi="宋体" w:eastAsia="宋体" w:cs="宋体"/>
                <w:color w:val="000000"/>
                <w:kern w:val="0"/>
                <w:sz w:val="24"/>
                <w:szCs w:val="24"/>
                <w:highlight w:val="none"/>
              </w:rPr>
              <w:t>包括但不限于差旅费、专家费、场地费等，报价单位需综合考虑成本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本函请于2024年</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日1</w:t>
            </w:r>
            <w:r>
              <w:rPr>
                <w:rFonts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仿宋"/>
                <w:sz w:val="24"/>
                <w:szCs w:val="24"/>
                <w:highlight w:val="none"/>
                <w:lang w:eastAsia="zh-CN"/>
              </w:rPr>
              <w:t>茂名博贺渔港经济区二期工程概算审核及施工阶段全过程造价咨询服务</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eastAsia="宋体" w:cs="宋体"/>
                <w:color w:val="000000"/>
                <w:kern w:val="0"/>
                <w:sz w:val="24"/>
                <w:szCs w:val="24"/>
                <w:highlight w:val="none"/>
              </w:rPr>
              <w:t>4年</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eastAsia="宋体" w:cs="宋体"/>
                <w:color w:val="000000"/>
                <w:kern w:val="0"/>
                <w:sz w:val="24"/>
                <w:szCs w:val="24"/>
                <w:highlight w:val="none"/>
              </w:rPr>
              <w:t>4年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bookmarkStart w:id="0" w:name="_GoBack"/>
            <w:bookmarkEnd w:id="0"/>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C36099E"/>
    <w:rsid w:val="267F4FFC"/>
    <w:rsid w:val="2B480F7B"/>
    <w:rsid w:val="2C436DF3"/>
    <w:rsid w:val="2CFB12A7"/>
    <w:rsid w:val="2FA841E8"/>
    <w:rsid w:val="36E8434B"/>
    <w:rsid w:val="3A6D4E67"/>
    <w:rsid w:val="3B6E7F2E"/>
    <w:rsid w:val="3CED6733"/>
    <w:rsid w:val="3E5A6583"/>
    <w:rsid w:val="41CC3178"/>
    <w:rsid w:val="42DD6902"/>
    <w:rsid w:val="49307D36"/>
    <w:rsid w:val="50FC11ED"/>
    <w:rsid w:val="54893732"/>
    <w:rsid w:val="58AC2BA6"/>
    <w:rsid w:val="5E525F9E"/>
    <w:rsid w:val="6CC87B57"/>
    <w:rsid w:val="710D46D2"/>
    <w:rsid w:val="737A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656</Words>
  <Characters>711</Characters>
  <Lines>0</Lines>
  <Paragraphs>0</Paragraphs>
  <TotalTime>0</TotalTime>
  <ScaleCrop>false</ScaleCrop>
  <LinksUpToDate>false</LinksUpToDate>
  <CharactersWithSpaces>720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沐白</cp:lastModifiedBy>
  <dcterms:modified xsi:type="dcterms:W3CDTF">2024-10-25T03:44:54Z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984F328379B2425D9DF7DD8B026DB927_12</vt:lpwstr>
  </property>
</Properties>
</file>