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71960">
      <w:pPr>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cs="宋体"/>
          <w:sz w:val="32"/>
          <w:szCs w:val="32"/>
          <w:lang w:val="en-US" w:eastAsia="zh-CN"/>
        </w:rPr>
        <w:t>2</w:t>
      </w:r>
      <w:r>
        <w:rPr>
          <w:rFonts w:hint="eastAsia" w:ascii="宋体" w:hAnsi="宋体" w:eastAsia="宋体" w:cs="宋体"/>
          <w:sz w:val="32"/>
          <w:szCs w:val="32"/>
        </w:rPr>
        <w:t>：</w:t>
      </w:r>
    </w:p>
    <w:p w14:paraId="35F9429C">
      <w:pPr>
        <w:rPr>
          <w:rFonts w:hint="eastAsia" w:ascii="宋体" w:hAnsi="宋体" w:eastAsia="宋体" w:cs="宋体"/>
          <w:b/>
          <w:kern w:val="44"/>
          <w:sz w:val="32"/>
          <w:szCs w:val="32"/>
        </w:rPr>
      </w:pPr>
      <w:r>
        <w:rPr>
          <w:rFonts w:hint="eastAsia" w:ascii="宋体" w:hAnsi="宋体" w:eastAsia="宋体" w:cs="宋体"/>
          <w:b/>
          <w:kern w:val="44"/>
          <w:sz w:val="32"/>
          <w:szCs w:val="32"/>
        </w:rPr>
        <w:t>报名单位：</w:t>
      </w:r>
    </w:p>
    <w:p w14:paraId="7A1E1FC4">
      <w:pPr>
        <w:pStyle w:val="2"/>
        <w:jc w:val="center"/>
        <w:rPr>
          <w:rFonts w:hint="eastAsia"/>
        </w:rPr>
      </w:pPr>
      <w:r>
        <w:rPr>
          <w:rFonts w:hint="eastAsia" w:ascii="宋体" w:hAnsi="宋体" w:eastAsia="宋体" w:cs="宋体"/>
          <w:b/>
          <w:color w:val="auto"/>
          <w:sz w:val="32"/>
          <w:szCs w:val="32"/>
          <w:lang w:eastAsia="zh-CN"/>
        </w:rPr>
        <w:t>技术评审表</w:t>
      </w:r>
    </w:p>
    <w:tbl>
      <w:tblPr>
        <w:tblStyle w:val="7"/>
        <w:tblpPr w:leftFromText="180" w:rightFromText="180" w:vertAnchor="page" w:horzAnchor="page" w:tblpX="1679" w:tblpY="3767"/>
        <w:tblOverlap w:val="never"/>
        <w:tblW w:w="51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64"/>
        <w:gridCol w:w="675"/>
        <w:gridCol w:w="5734"/>
        <w:gridCol w:w="1054"/>
      </w:tblGrid>
      <w:tr w14:paraId="0BC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3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138CB71">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3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31822C6">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评审项目</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989D827">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满分值</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D7FE322">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9E8E852">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得分情况</w:t>
            </w:r>
          </w:p>
        </w:tc>
      </w:tr>
      <w:tr w14:paraId="2E8D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3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D95025B">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3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6FF732C">
            <w:pPr>
              <w:pStyle w:val="9"/>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实施方案</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4A3C785">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E07D3AD">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对招标代理工作内容和要求的理解情况，对提出实施招标代理业务的实施方案的科学性、可操作性进行评分：</w:t>
            </w:r>
          </w:p>
          <w:p w14:paraId="2A9A30CD">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1.服务方案清晰完整、严谨合理，对项目实施方案非常详细，组织架构完善的，得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分；</w:t>
            </w:r>
          </w:p>
          <w:p w14:paraId="365AF84A">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2.服务方案完整、较详细合理，对项目实施方案较为详细，组织架构较好的，得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28FA80B8">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3.服务方案简单，合理性一般，对项目实施方案一般，组织架构一般的，得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AE3E1A6">
            <w:pPr>
              <w:pStyle w:val="9"/>
              <w:spacing w:line="360" w:lineRule="auto"/>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4.未提供对应方案，得0分。</w:t>
            </w: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155F41C">
            <w:pPr>
              <w:pStyle w:val="9"/>
              <w:spacing w:line="360" w:lineRule="auto"/>
              <w:rPr>
                <w:rFonts w:hint="eastAsia" w:ascii="宋体" w:hAnsi="宋体" w:eastAsia="宋体" w:cs="宋体"/>
                <w:sz w:val="24"/>
                <w:szCs w:val="24"/>
              </w:rPr>
            </w:pPr>
          </w:p>
        </w:tc>
      </w:tr>
      <w:tr w14:paraId="605C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664066B">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3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DDB73D1">
            <w:pPr>
              <w:pStyle w:val="9"/>
              <w:spacing w:line="360" w:lineRule="auto"/>
              <w:jc w:val="center"/>
              <w:rPr>
                <w:rFonts w:hint="eastAsia" w:ascii="宋体" w:hAnsi="宋体" w:eastAsia="宋体" w:cs="宋体"/>
                <w:sz w:val="24"/>
                <w:szCs w:val="24"/>
              </w:rPr>
            </w:pPr>
            <w:r>
              <w:rPr>
                <w:rFonts w:hint="eastAsia" w:ascii="宋体" w:hAnsi="宋体" w:eastAsia="宋体" w:cs="宋体"/>
                <w:bCs/>
                <w:color w:val="auto"/>
                <w:kern w:val="0"/>
                <w:sz w:val="24"/>
                <w:szCs w:val="24"/>
                <w:highlight w:val="none"/>
              </w:rPr>
              <w:t>工作进度计划安排</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A04395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3B74221">
            <w:pPr>
              <w:widowControl/>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对采购项目工作流程时间节点安排的科学性、合理性、响应积极性进行评分：</w:t>
            </w:r>
          </w:p>
          <w:p w14:paraId="1AC45D2C">
            <w:pPr>
              <w:widowControl/>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1.工作进度计划安排的科学性、合理性高，可行性强，响应积极性高得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077D2661">
            <w:pPr>
              <w:widowControl/>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2.工作进度计划安排的科学性、合理性一般，可行性一般，响应积极性一般得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0AB3661">
            <w:pPr>
              <w:widowControl/>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3.工作进度计划安排的科学性、合理性一般，可行性较差，响应积极性差得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D7B667E">
            <w:pPr>
              <w:pStyle w:val="9"/>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4.未提供工作进度计划安排，得0分。</w:t>
            </w: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C4CC4E">
            <w:pPr>
              <w:pStyle w:val="9"/>
              <w:spacing w:line="360" w:lineRule="auto"/>
              <w:rPr>
                <w:rFonts w:hint="eastAsia" w:ascii="宋体" w:hAnsi="宋体" w:eastAsia="宋体" w:cs="宋体"/>
                <w:sz w:val="24"/>
                <w:szCs w:val="24"/>
              </w:rPr>
            </w:pPr>
          </w:p>
        </w:tc>
      </w:tr>
      <w:tr w14:paraId="6190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DBBCC0D">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3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3A8AFA6">
            <w:pPr>
              <w:pStyle w:val="9"/>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重点难点及处理方案</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677CD7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0F7721A">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对招标代理工作中的重点难点表述及处理方案进行评分：</w:t>
            </w:r>
          </w:p>
          <w:p w14:paraId="5C9FDA35">
            <w:pPr>
              <w:widowControl/>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1.应对重点难点表述及处理方案，可行性高的，得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6454B82E">
            <w:pPr>
              <w:widowControl/>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2.应对重点难点表述及处理方案较完善，具备一定的可行性的，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69CE5B80">
            <w:pPr>
              <w:widowControl/>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3.应对重点难点表述及处理方案不够完善，可行性较差的，得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1EAF383">
            <w:pPr>
              <w:pStyle w:val="9"/>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4.未提供对应方案的，得0 分。</w:t>
            </w: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E935C77">
            <w:pPr>
              <w:pStyle w:val="9"/>
              <w:spacing w:line="360" w:lineRule="auto"/>
              <w:rPr>
                <w:rFonts w:hint="eastAsia" w:ascii="宋体" w:hAnsi="宋体" w:eastAsia="宋体" w:cs="宋体"/>
                <w:sz w:val="24"/>
                <w:szCs w:val="24"/>
              </w:rPr>
            </w:pPr>
          </w:p>
        </w:tc>
      </w:tr>
      <w:tr w14:paraId="0853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87630EE">
            <w:pPr>
              <w:pStyle w:val="9"/>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3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7C2D55">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后续服务计划方案</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2C509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DD7EDA4">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对采购项目后续工作的安排及出现紧急情况时的应急措施进行评分：</w:t>
            </w:r>
          </w:p>
          <w:p w14:paraId="159456BA">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1.后续服务方案合理，响应时间、出现紧急情况时的服务及应急措施响应或优于采购要求的，得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F03A5DE">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2.后续服务方案一般，响应时间、出现紧急情况时的服务及应急措施响应采购要求的，得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18F814A">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3.后续服务方案不合理，响应时间、出现紧急情况时的服务及应急措施响应采购要求的，得3分；</w:t>
            </w:r>
          </w:p>
          <w:p w14:paraId="56BE0949">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4.未提供后续服务计划方案，0分。</w:t>
            </w: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753B47E">
            <w:pPr>
              <w:pStyle w:val="9"/>
              <w:spacing w:line="360" w:lineRule="auto"/>
              <w:rPr>
                <w:rFonts w:hint="eastAsia" w:ascii="宋体" w:hAnsi="宋体" w:eastAsia="宋体" w:cs="宋体"/>
                <w:sz w:val="24"/>
                <w:szCs w:val="24"/>
              </w:rPr>
            </w:pPr>
          </w:p>
        </w:tc>
      </w:tr>
      <w:tr w14:paraId="13F2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7593AC">
            <w:pPr>
              <w:pStyle w:val="9"/>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3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3124786">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服务质量保证措施</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57DA20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EE233E7">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对采购项目服务质量保证措施进行评分：</w:t>
            </w:r>
          </w:p>
          <w:p w14:paraId="559F6FB9">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1.服务质量措施完善，针对性和可操作性强的，得8分；</w:t>
            </w:r>
          </w:p>
          <w:p w14:paraId="3BD87ADE">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2.服务质量措施较完善，针对性和可操作性较强的，得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481D981">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3.服务质量措施一般，针对性和可操作性一般，得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9C24CD1">
            <w:pPr>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4.无相关内容不得分。</w:t>
            </w: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1FE9723">
            <w:pPr>
              <w:pStyle w:val="9"/>
              <w:spacing w:line="360" w:lineRule="auto"/>
              <w:rPr>
                <w:rFonts w:hint="eastAsia" w:ascii="宋体" w:hAnsi="宋体" w:eastAsia="宋体" w:cs="宋体"/>
                <w:sz w:val="24"/>
                <w:szCs w:val="24"/>
              </w:rPr>
            </w:pPr>
          </w:p>
        </w:tc>
      </w:tr>
      <w:tr w14:paraId="584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6" w:type="pct"/>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473ECC">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小计</w:t>
            </w:r>
          </w:p>
        </w:tc>
        <w:tc>
          <w:tcPr>
            <w:tcW w:w="38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B7FB23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45</w:t>
            </w:r>
          </w:p>
        </w:tc>
        <w:tc>
          <w:tcPr>
            <w:tcW w:w="32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8EAA2D1">
            <w:pPr>
              <w:pStyle w:val="9"/>
              <w:spacing w:line="360" w:lineRule="auto"/>
              <w:rPr>
                <w:rFonts w:hint="eastAsia" w:ascii="宋体" w:hAnsi="宋体" w:eastAsia="宋体" w:cs="宋体"/>
                <w:sz w:val="24"/>
                <w:szCs w:val="24"/>
              </w:rPr>
            </w:pPr>
          </w:p>
        </w:tc>
        <w:tc>
          <w:tcPr>
            <w:tcW w:w="59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9AA79B0">
            <w:pPr>
              <w:pStyle w:val="9"/>
              <w:spacing w:line="360" w:lineRule="auto"/>
              <w:rPr>
                <w:rFonts w:hint="eastAsia" w:ascii="宋体" w:hAnsi="宋体" w:eastAsia="宋体" w:cs="宋体"/>
                <w:sz w:val="24"/>
                <w:szCs w:val="24"/>
              </w:rPr>
            </w:pPr>
          </w:p>
        </w:tc>
      </w:tr>
    </w:tbl>
    <w:p w14:paraId="702D8E5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商务评审表</w:t>
      </w:r>
    </w:p>
    <w:tbl>
      <w:tblPr>
        <w:tblStyle w:val="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28"/>
        <w:gridCol w:w="700"/>
        <w:gridCol w:w="5913"/>
        <w:gridCol w:w="1090"/>
      </w:tblGrid>
      <w:tr w14:paraId="2CF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30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67B09B0">
            <w:pPr>
              <w:pStyle w:val="9"/>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0BD3027">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评审</w:t>
            </w:r>
          </w:p>
          <w:p w14:paraId="5BDFFFBA">
            <w:pPr>
              <w:pStyle w:val="9"/>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38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F5073CC">
            <w:pPr>
              <w:pStyle w:val="9"/>
              <w:jc w:val="center"/>
              <w:rPr>
                <w:rFonts w:hint="eastAsia" w:ascii="宋体" w:hAnsi="宋体" w:eastAsia="宋体" w:cs="宋体"/>
                <w:b/>
                <w:bCs/>
                <w:sz w:val="24"/>
                <w:szCs w:val="24"/>
              </w:rPr>
            </w:pPr>
            <w:r>
              <w:rPr>
                <w:rFonts w:hint="eastAsia" w:ascii="宋体" w:hAnsi="宋体" w:eastAsia="宋体" w:cs="宋体"/>
                <w:b/>
                <w:bCs/>
                <w:sz w:val="24"/>
                <w:szCs w:val="24"/>
              </w:rPr>
              <w:t>满分值</w:t>
            </w:r>
          </w:p>
        </w:tc>
        <w:tc>
          <w:tcPr>
            <w:tcW w:w="325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339760B">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59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255F3D5">
            <w:pPr>
              <w:pStyle w:val="9"/>
              <w:jc w:val="center"/>
              <w:rPr>
                <w:rFonts w:hint="eastAsia" w:ascii="宋体" w:hAnsi="宋体" w:eastAsia="宋体" w:cs="宋体"/>
                <w:b/>
                <w:bCs/>
                <w:sz w:val="24"/>
                <w:szCs w:val="24"/>
              </w:rPr>
            </w:pPr>
            <w:r>
              <w:rPr>
                <w:rFonts w:hint="eastAsia" w:ascii="宋体" w:hAnsi="宋体" w:eastAsia="宋体" w:cs="宋体"/>
                <w:b/>
                <w:bCs/>
                <w:sz w:val="24"/>
                <w:szCs w:val="24"/>
              </w:rPr>
              <w:t>得分情况</w:t>
            </w:r>
          </w:p>
        </w:tc>
      </w:tr>
      <w:tr w14:paraId="087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309" w:type="pct"/>
            <w:tcBorders>
              <w:top w:val="single" w:color="000000" w:sz="0" w:space="0"/>
              <w:left w:val="single" w:color="000000" w:sz="0" w:space="0"/>
              <w:right w:val="single" w:color="000000" w:sz="0" w:space="0"/>
            </w:tcBorders>
            <w:tcMar>
              <w:top w:w="100" w:type="dxa"/>
              <w:bottom w:w="100" w:type="dxa"/>
            </w:tcMar>
            <w:vAlign w:val="center"/>
          </w:tcPr>
          <w:p w14:paraId="7EE0A416">
            <w:pPr>
              <w:pStyle w:val="9"/>
              <w:jc w:val="center"/>
              <w:rPr>
                <w:rFonts w:hint="eastAsia" w:ascii="宋体" w:hAnsi="宋体" w:eastAsia="宋体" w:cs="宋体"/>
                <w:sz w:val="24"/>
                <w:szCs w:val="24"/>
              </w:rPr>
            </w:pPr>
            <w:r>
              <w:rPr>
                <w:rFonts w:hint="eastAsia" w:ascii="宋体" w:hAnsi="宋体" w:eastAsia="宋体" w:cs="宋体"/>
                <w:sz w:val="24"/>
                <w:szCs w:val="24"/>
              </w:rPr>
              <w:t>1</w:t>
            </w:r>
          </w:p>
        </w:tc>
        <w:tc>
          <w:tcPr>
            <w:tcW w:w="455" w:type="pct"/>
            <w:tcBorders>
              <w:top w:val="single" w:color="000000" w:sz="0" w:space="0"/>
              <w:left w:val="single" w:color="000000" w:sz="0" w:space="0"/>
              <w:right w:val="single" w:color="000000" w:sz="0" w:space="0"/>
            </w:tcBorders>
            <w:tcMar>
              <w:top w:w="100" w:type="dxa"/>
              <w:bottom w:w="100" w:type="dxa"/>
            </w:tcMar>
            <w:vAlign w:val="center"/>
          </w:tcPr>
          <w:p w14:paraId="60B8546B">
            <w:pPr>
              <w:pStyle w:val="9"/>
              <w:jc w:val="center"/>
              <w:rPr>
                <w:rFonts w:hint="eastAsia" w:ascii="宋体" w:hAnsi="宋体" w:eastAsia="宋体" w:cs="宋体"/>
                <w:sz w:val="24"/>
                <w:szCs w:val="24"/>
              </w:rPr>
            </w:pPr>
            <w:r>
              <w:rPr>
                <w:rFonts w:hint="eastAsia" w:ascii="宋体" w:hAnsi="宋体" w:eastAsia="宋体" w:cs="宋体"/>
                <w:sz w:val="24"/>
                <w:szCs w:val="24"/>
              </w:rPr>
              <w:t>企业业绩</w:t>
            </w:r>
          </w:p>
        </w:tc>
        <w:tc>
          <w:tcPr>
            <w:tcW w:w="38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D43815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c>
          <w:tcPr>
            <w:tcW w:w="325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09354F0">
            <w:pPr>
              <w:pStyle w:val="1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2022年1月1日至今，承担过公开招标</w:t>
            </w:r>
            <w:r>
              <w:rPr>
                <w:rFonts w:hint="eastAsia" w:ascii="宋体" w:hAnsi="宋体" w:cs="宋体"/>
                <w:kern w:val="0"/>
                <w:sz w:val="24"/>
                <w:szCs w:val="24"/>
                <w:lang w:val="en-US" w:eastAsia="zh-CN" w:bidi="ar-SA"/>
              </w:rPr>
              <w:t>施工类</w:t>
            </w:r>
            <w:r>
              <w:rPr>
                <w:rFonts w:hint="eastAsia" w:ascii="宋体" w:hAnsi="宋体" w:eastAsia="宋体" w:cs="宋体"/>
                <w:kern w:val="0"/>
                <w:sz w:val="24"/>
                <w:szCs w:val="24"/>
                <w:lang w:val="en-US" w:eastAsia="zh-CN" w:bidi="ar-SA"/>
              </w:rPr>
              <w:t>的招标代理项目：</w:t>
            </w:r>
            <w:r>
              <w:rPr>
                <w:rFonts w:hint="eastAsia" w:ascii="宋体" w:hAnsi="宋体" w:cs="宋体"/>
                <w:kern w:val="0"/>
                <w:sz w:val="24"/>
                <w:szCs w:val="24"/>
                <w:lang w:val="en-US" w:eastAsia="zh-CN" w:bidi="ar-SA"/>
              </w:rPr>
              <w:t>项目投资规模</w:t>
            </w:r>
            <w:r>
              <w:rPr>
                <w:rFonts w:hint="eastAsia" w:ascii="宋体" w:hAnsi="宋体" w:eastAsia="宋体" w:cs="宋体"/>
                <w:kern w:val="0"/>
                <w:sz w:val="24"/>
                <w:szCs w:val="24"/>
                <w:lang w:val="en-US" w:eastAsia="zh-CN" w:bidi="ar-SA"/>
              </w:rPr>
              <w:t>≥10000万元的，每提供一项得</w:t>
            </w: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最高</w:t>
            </w:r>
            <w:r>
              <w:rPr>
                <w:rFonts w:hint="eastAsia" w:ascii="宋体" w:hAnsi="宋体" w:cs="宋体"/>
                <w:kern w:val="0"/>
                <w:sz w:val="24"/>
                <w:szCs w:val="24"/>
                <w:lang w:val="en-US" w:eastAsia="zh-CN" w:bidi="ar-SA"/>
              </w:rPr>
              <w:t>16</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；3000万元≤项目投资规模</w:t>
            </w:r>
            <w:r>
              <w:rPr>
                <w:rFonts w:hint="eastAsia" w:ascii="宋体" w:hAnsi="宋体" w:eastAsia="宋体" w:cs="宋体"/>
                <w:kern w:val="0"/>
                <w:sz w:val="24"/>
                <w:szCs w:val="24"/>
                <w:lang w:val="en-US" w:eastAsia="zh-CN" w:bidi="ar-SA"/>
              </w:rPr>
              <w:t>＜10000万元的，每提供一项得</w:t>
            </w: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最高</w:t>
            </w:r>
            <w:r>
              <w:rPr>
                <w:rFonts w:hint="eastAsia" w:ascii="宋体" w:hAnsi="宋体" w:cs="宋体"/>
                <w:kern w:val="0"/>
                <w:sz w:val="24"/>
                <w:szCs w:val="24"/>
                <w:lang w:val="en-US" w:eastAsia="zh-CN" w:bidi="ar-SA"/>
              </w:rPr>
              <w:t>6</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项目投资规模</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3000</w:t>
            </w:r>
            <w:r>
              <w:rPr>
                <w:rFonts w:hint="eastAsia" w:ascii="宋体" w:hAnsi="宋体" w:eastAsia="宋体" w:cs="宋体"/>
                <w:kern w:val="0"/>
                <w:sz w:val="24"/>
                <w:szCs w:val="24"/>
                <w:lang w:val="en-US" w:eastAsia="zh-CN" w:bidi="ar-SA"/>
              </w:rPr>
              <w:t>万元的</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每提供一项得</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最高</w:t>
            </w: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分</w:t>
            </w:r>
            <w:r>
              <w:rPr>
                <w:rFonts w:hint="eastAsia" w:ascii="宋体" w:hAnsi="宋体" w:cs="宋体"/>
                <w:kern w:val="0"/>
                <w:sz w:val="24"/>
                <w:szCs w:val="24"/>
                <w:lang w:val="en-US" w:eastAsia="zh-CN" w:bidi="ar-SA"/>
              </w:rPr>
              <w:t>。</w:t>
            </w:r>
            <w:bookmarkStart w:id="0" w:name="_GoBack"/>
            <w:bookmarkEnd w:id="0"/>
          </w:p>
          <w:p w14:paraId="18884C89">
            <w:pPr>
              <w:pStyle w:val="9"/>
              <w:rPr>
                <w:rFonts w:hint="default" w:ascii="宋体" w:hAnsi="宋体" w:eastAsia="宋体" w:cs="宋体"/>
                <w:sz w:val="24"/>
                <w:lang w:val="en-US" w:eastAsia="zh-CN"/>
              </w:rPr>
            </w:pPr>
            <w:r>
              <w:rPr>
                <w:rFonts w:hint="eastAsia" w:ascii="宋体" w:hAnsi="宋体" w:eastAsia="宋体" w:cs="宋体"/>
                <w:kern w:val="0"/>
                <w:sz w:val="24"/>
                <w:szCs w:val="24"/>
                <w:lang w:val="en-US" w:eastAsia="zh-CN" w:bidi="ar-SA"/>
              </w:rPr>
              <w:t>注：本项最高得25分。须提供招标代理委托协议复印件，</w:t>
            </w:r>
            <w:r>
              <w:rPr>
                <w:rFonts w:hint="eastAsia" w:ascii="宋体" w:hAnsi="宋体" w:cs="宋体"/>
                <w:kern w:val="0"/>
                <w:sz w:val="24"/>
                <w:szCs w:val="24"/>
                <w:lang w:val="en-US" w:eastAsia="zh-CN" w:bidi="ar-SA"/>
              </w:rPr>
              <w:t>项目投资规模</w:t>
            </w:r>
            <w:r>
              <w:rPr>
                <w:rFonts w:hint="eastAsia" w:ascii="宋体" w:hAnsi="宋体" w:eastAsia="宋体" w:cs="宋体"/>
                <w:kern w:val="0"/>
                <w:sz w:val="24"/>
                <w:szCs w:val="24"/>
                <w:lang w:val="en-US" w:eastAsia="zh-CN" w:bidi="ar-SA"/>
              </w:rPr>
              <w:t>以协议签订的招标控制价或总投资的金额为准。</w:t>
            </w:r>
            <w:r>
              <w:rPr>
                <w:rFonts w:hint="eastAsia" w:ascii="宋体" w:hAnsi="宋体" w:cs="宋体"/>
                <w:sz w:val="24"/>
                <w:szCs w:val="24"/>
                <w:lang w:val="en-US" w:eastAsia="zh-CN"/>
              </w:rPr>
              <w:t>不提供不得分</w:t>
            </w:r>
            <w:r>
              <w:rPr>
                <w:rFonts w:hint="eastAsia" w:ascii="宋体" w:hAnsi="宋体" w:eastAsia="宋体" w:cs="宋体"/>
                <w:sz w:val="24"/>
                <w:szCs w:val="24"/>
                <w:lang w:eastAsia="zh-CN"/>
              </w:rPr>
              <w:t>。</w:t>
            </w:r>
          </w:p>
        </w:tc>
        <w:tc>
          <w:tcPr>
            <w:tcW w:w="59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CE7462A">
            <w:pPr>
              <w:jc w:val="center"/>
              <w:rPr>
                <w:rFonts w:hint="eastAsia" w:ascii="宋体" w:hAnsi="宋体" w:eastAsia="宋体" w:cs="宋体"/>
                <w:sz w:val="24"/>
                <w:szCs w:val="24"/>
              </w:rPr>
            </w:pPr>
          </w:p>
        </w:tc>
      </w:tr>
      <w:tr w14:paraId="1DEB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0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C37B02D">
            <w:pPr>
              <w:pStyle w:val="9"/>
              <w:jc w:val="center"/>
              <w:rPr>
                <w:rFonts w:hint="eastAsia" w:ascii="宋体" w:hAnsi="宋体" w:eastAsia="宋体" w:cs="宋体"/>
                <w:sz w:val="24"/>
                <w:szCs w:val="24"/>
              </w:rPr>
            </w:pPr>
            <w:r>
              <w:rPr>
                <w:rFonts w:hint="eastAsia" w:ascii="宋体" w:hAnsi="宋体" w:eastAsia="宋体" w:cs="宋体"/>
                <w:sz w:val="24"/>
                <w:szCs w:val="24"/>
              </w:rPr>
              <w:t>2</w:t>
            </w:r>
          </w:p>
        </w:tc>
        <w:tc>
          <w:tcPr>
            <w:tcW w:w="4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DE9120A">
            <w:pPr>
              <w:pStyle w:val="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tc>
        <w:tc>
          <w:tcPr>
            <w:tcW w:w="38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3602613">
            <w:pPr>
              <w:pStyle w:val="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25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453D0CE">
            <w:pPr>
              <w:pStyle w:val="9"/>
              <w:rPr>
                <w:rFonts w:ascii="宋体" w:hAnsi="宋体" w:eastAsia="宋体" w:cs="宋体"/>
                <w:color w:val="auto"/>
                <w:highlight w:val="none"/>
              </w:rPr>
            </w:pPr>
            <w:r>
              <w:rPr>
                <w:rFonts w:ascii="宋体" w:hAnsi="宋体" w:eastAsia="宋体" w:cs="宋体"/>
                <w:color w:val="auto"/>
                <w:highlight w:val="none"/>
              </w:rPr>
              <w:t>近</w:t>
            </w:r>
            <w:r>
              <w:rPr>
                <w:rFonts w:hint="eastAsia" w:ascii="宋体" w:hAnsi="宋体" w:eastAsia="宋体" w:cs="宋体"/>
                <w:color w:val="auto"/>
                <w:highlight w:val="none"/>
                <w:lang w:val="en-US" w:eastAsia="zh-CN"/>
              </w:rPr>
              <w:t>两</w:t>
            </w:r>
            <w:r>
              <w:rPr>
                <w:rFonts w:ascii="宋体" w:hAnsi="宋体" w:eastAsia="宋体" w:cs="宋体"/>
                <w:color w:val="auto"/>
                <w:highlight w:val="none"/>
              </w:rPr>
              <w:t>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ascii="宋体" w:hAnsi="宋体" w:eastAsia="宋体" w:cs="宋体"/>
                <w:color w:val="auto"/>
                <w:highlight w:val="none"/>
              </w:rPr>
              <w:t>营业收入平均</w:t>
            </w:r>
            <w:r>
              <w:rPr>
                <w:rFonts w:hint="eastAsia" w:ascii="宋体" w:hAnsi="宋体" w:eastAsia="宋体" w:cs="宋体"/>
                <w:color w:val="auto"/>
                <w:highlight w:val="none"/>
              </w:rPr>
              <w:t>值由高到低排名，第一名得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分，第二名得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分，依次递减0.5分，最低得0分。</w:t>
            </w:r>
          </w:p>
          <w:p w14:paraId="6463DEEC">
            <w:pPr>
              <w:pStyle w:val="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注：提供近</w:t>
            </w:r>
            <w:r>
              <w:rPr>
                <w:rFonts w:hint="eastAsia" w:ascii="宋体" w:hAnsi="宋体" w:cs="宋体"/>
                <w:color w:val="auto"/>
                <w:kern w:val="0"/>
                <w:sz w:val="24"/>
                <w:szCs w:val="24"/>
                <w:highlight w:val="none"/>
                <w:lang w:val="en-US" w:eastAsia="zh-CN" w:bidi="ar-SA"/>
              </w:rPr>
              <w:t>两</w:t>
            </w:r>
            <w:r>
              <w:rPr>
                <w:rFonts w:hint="eastAsia" w:ascii="宋体" w:hAnsi="宋体" w:eastAsia="宋体" w:cs="宋体"/>
                <w:color w:val="auto"/>
                <w:kern w:val="0"/>
                <w:sz w:val="24"/>
                <w:szCs w:val="24"/>
                <w:highlight w:val="none"/>
                <w:lang w:val="en-US" w:eastAsia="zh-CN" w:bidi="ar-SA"/>
              </w:rPr>
              <w:t>年的财务报告或财务报表，公司成立不足</w:t>
            </w:r>
            <w:r>
              <w:rPr>
                <w:rFonts w:hint="eastAsia" w:ascii="宋体" w:hAnsi="宋体" w:cs="宋体"/>
                <w:color w:val="auto"/>
                <w:kern w:val="0"/>
                <w:sz w:val="24"/>
                <w:szCs w:val="24"/>
                <w:highlight w:val="none"/>
                <w:lang w:val="en-US" w:eastAsia="zh-CN" w:bidi="ar-SA"/>
              </w:rPr>
              <w:t>两</w:t>
            </w:r>
            <w:r>
              <w:rPr>
                <w:rFonts w:hint="eastAsia" w:ascii="宋体" w:hAnsi="宋体" w:eastAsia="宋体" w:cs="宋体"/>
                <w:color w:val="auto"/>
                <w:kern w:val="0"/>
                <w:sz w:val="24"/>
                <w:szCs w:val="24"/>
                <w:highlight w:val="none"/>
                <w:lang w:val="en-US" w:eastAsia="zh-CN" w:bidi="ar-SA"/>
              </w:rPr>
              <w:t>年的，提供成立至今的财务报告或财务报表</w:t>
            </w:r>
            <w:r>
              <w:rPr>
                <w:rFonts w:hint="eastAsia" w:ascii="宋体" w:hAnsi="宋体" w:cs="宋体"/>
                <w:color w:val="auto"/>
                <w:kern w:val="0"/>
                <w:sz w:val="24"/>
                <w:szCs w:val="24"/>
                <w:highlight w:val="none"/>
                <w:lang w:val="en-US" w:eastAsia="zh-CN" w:bidi="ar-SA"/>
              </w:rPr>
              <w:t>复印件并加盖投标人公章</w:t>
            </w:r>
            <w:r>
              <w:rPr>
                <w:rFonts w:hint="eastAsia" w:ascii="宋体" w:hAnsi="宋体" w:eastAsia="宋体" w:cs="宋体"/>
                <w:color w:val="auto"/>
                <w:kern w:val="0"/>
                <w:sz w:val="24"/>
                <w:szCs w:val="24"/>
                <w:highlight w:val="none"/>
                <w:lang w:val="en-US" w:eastAsia="zh-CN" w:bidi="ar-SA"/>
              </w:rPr>
              <w:t>。</w:t>
            </w:r>
          </w:p>
        </w:tc>
        <w:tc>
          <w:tcPr>
            <w:tcW w:w="59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3968658">
            <w:pPr>
              <w:pStyle w:val="9"/>
              <w:jc w:val="center"/>
              <w:rPr>
                <w:rFonts w:hint="eastAsia" w:ascii="宋体" w:hAnsi="宋体" w:eastAsia="宋体" w:cs="宋体"/>
                <w:sz w:val="24"/>
                <w:szCs w:val="24"/>
              </w:rPr>
            </w:pPr>
          </w:p>
        </w:tc>
      </w:tr>
      <w:tr w14:paraId="5C66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30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57FB1D3">
            <w:pPr>
              <w:pStyle w:val="9"/>
              <w:jc w:val="center"/>
              <w:rPr>
                <w:rFonts w:hint="eastAsia" w:ascii="宋体" w:hAnsi="宋体" w:eastAsia="宋体" w:cs="宋体"/>
                <w:sz w:val="24"/>
                <w:szCs w:val="24"/>
              </w:rPr>
            </w:pPr>
            <w:r>
              <w:rPr>
                <w:rFonts w:hint="eastAsia" w:ascii="宋体" w:hAnsi="宋体" w:eastAsia="宋体" w:cs="宋体"/>
                <w:sz w:val="24"/>
                <w:szCs w:val="24"/>
              </w:rPr>
              <w:t>3</w:t>
            </w:r>
          </w:p>
        </w:tc>
        <w:tc>
          <w:tcPr>
            <w:tcW w:w="4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0E8909B">
            <w:pPr>
              <w:pStyle w:val="9"/>
              <w:jc w:val="center"/>
              <w:rPr>
                <w:rFonts w:hint="eastAsia" w:ascii="宋体" w:hAnsi="宋体" w:eastAsia="宋体" w:cs="宋体"/>
                <w:sz w:val="24"/>
                <w:szCs w:val="24"/>
              </w:rPr>
            </w:pPr>
            <w:r>
              <w:rPr>
                <w:rFonts w:hint="eastAsia" w:ascii="宋体" w:hAnsi="宋体" w:eastAsia="宋体" w:cs="宋体"/>
                <w:sz w:val="24"/>
                <w:szCs w:val="24"/>
              </w:rPr>
              <w:t>企业信誉</w:t>
            </w:r>
          </w:p>
        </w:tc>
        <w:tc>
          <w:tcPr>
            <w:tcW w:w="38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C0AFBB">
            <w:pPr>
              <w:pStyle w:val="10"/>
              <w:spacing w:before="93" w:after="93"/>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325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268E628">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2022年1月1日至今，由</w:t>
            </w:r>
            <w:r>
              <w:rPr>
                <w:rFonts w:hint="eastAsia" w:ascii="宋体" w:hAnsi="宋体" w:eastAsia="宋体" w:cs="宋体"/>
                <w:sz w:val="24"/>
                <w:szCs w:val="24"/>
                <w:lang w:val="en-US" w:eastAsia="zh-CN"/>
              </w:rPr>
              <w:t>业主</w:t>
            </w:r>
            <w:r>
              <w:rPr>
                <w:rFonts w:hint="eastAsia" w:ascii="宋体" w:hAnsi="宋体" w:cs="宋体"/>
                <w:sz w:val="24"/>
                <w:szCs w:val="24"/>
                <w:lang w:val="en-US" w:eastAsia="zh-CN"/>
              </w:rPr>
              <w:t>单位出具</w:t>
            </w:r>
            <w:r>
              <w:rPr>
                <w:rFonts w:hint="eastAsia" w:ascii="宋体" w:hAnsi="宋体" w:eastAsia="宋体" w:cs="宋体"/>
                <w:sz w:val="24"/>
                <w:szCs w:val="24"/>
                <w:lang w:val="en-US" w:eastAsia="zh-CN"/>
              </w:rPr>
              <w:t>对</w:t>
            </w:r>
            <w:r>
              <w:rPr>
                <w:rFonts w:hint="eastAsia" w:ascii="宋体" w:hAnsi="宋体" w:cs="宋体"/>
                <w:sz w:val="24"/>
                <w:szCs w:val="24"/>
                <w:lang w:val="en-US" w:eastAsia="zh-CN"/>
              </w:rPr>
              <w:t>代理机构的</w:t>
            </w:r>
            <w:r>
              <w:rPr>
                <w:rFonts w:hint="eastAsia" w:ascii="宋体" w:hAnsi="宋体" w:eastAsia="宋体" w:cs="宋体"/>
                <w:sz w:val="24"/>
                <w:szCs w:val="24"/>
                <w:lang w:val="en-US" w:eastAsia="zh-CN"/>
              </w:rPr>
              <w:t>招标代理业务</w:t>
            </w:r>
            <w:r>
              <w:rPr>
                <w:rFonts w:hint="eastAsia" w:ascii="宋体" w:hAnsi="宋体" w:cs="宋体"/>
                <w:sz w:val="24"/>
                <w:szCs w:val="24"/>
                <w:lang w:val="en-US" w:eastAsia="zh-CN"/>
              </w:rPr>
              <w:t>评价表中评价事项全部为满意的</w:t>
            </w:r>
            <w:r>
              <w:rPr>
                <w:rFonts w:hint="eastAsia" w:ascii="宋体" w:hAnsi="宋体" w:eastAsia="宋体" w:cs="宋体"/>
                <w:sz w:val="24"/>
                <w:szCs w:val="24"/>
                <w:lang w:eastAsia="zh-CN"/>
              </w:rPr>
              <w:t>：</w:t>
            </w:r>
          </w:p>
          <w:p w14:paraId="003BCBBD">
            <w:pPr>
              <w:pStyle w:val="10"/>
              <w:keepNext w:val="0"/>
              <w:keepLines w:val="0"/>
              <w:pageBreakBefore w:val="0"/>
              <w:widowControl w:val="0"/>
              <w:kinsoku/>
              <w:wordWrap/>
              <w:overflowPunct/>
              <w:topLinePunct w:val="0"/>
              <w:autoSpaceDE/>
              <w:autoSpaceDN/>
              <w:bidi w:val="0"/>
              <w:adjustRightInd/>
              <w:snapToGrid/>
              <w:spacing w:before="93" w:after="93" w:line="240" w:lineRule="auto"/>
              <w:textAlignment w:val="auto"/>
              <w:rPr>
                <w:rFonts w:hint="eastAsia" w:ascii="宋体" w:hAnsi="宋体" w:eastAsia="宋体" w:cs="宋体"/>
                <w:sz w:val="24"/>
                <w:szCs w:val="24"/>
              </w:rPr>
            </w:pPr>
            <w:r>
              <w:rPr>
                <w:rFonts w:hint="eastAsia" w:ascii="宋体" w:hAnsi="宋体" w:eastAsia="宋体" w:cs="宋体"/>
                <w:sz w:val="24"/>
                <w:szCs w:val="24"/>
              </w:rPr>
              <w:t>优：</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项以上。得</w:t>
            </w:r>
            <w:r>
              <w:rPr>
                <w:rFonts w:hint="eastAsia" w:ascii="宋体" w:hAnsi="宋体" w:cs="宋体"/>
                <w:snapToGrid w:val="0"/>
                <w:color w:val="000000"/>
                <w:spacing w:val="27"/>
                <w:kern w:val="0"/>
                <w:sz w:val="24"/>
                <w:szCs w:val="24"/>
                <w:lang w:val="en-US" w:eastAsia="zh-CN" w:bidi="ar-SA"/>
              </w:rPr>
              <w:t>5</w:t>
            </w:r>
            <w:r>
              <w:rPr>
                <w:rFonts w:hint="eastAsia" w:ascii="宋体" w:hAnsi="宋体" w:eastAsia="宋体" w:cs="宋体"/>
                <w:sz w:val="24"/>
                <w:szCs w:val="24"/>
              </w:rPr>
              <w:t>分；</w:t>
            </w:r>
          </w:p>
          <w:p w14:paraId="790ECD32">
            <w:pPr>
              <w:pStyle w:val="10"/>
              <w:keepNext w:val="0"/>
              <w:keepLines w:val="0"/>
              <w:pageBreakBefore w:val="0"/>
              <w:widowControl w:val="0"/>
              <w:kinsoku/>
              <w:wordWrap/>
              <w:overflowPunct/>
              <w:topLinePunct w:val="0"/>
              <w:autoSpaceDE/>
              <w:autoSpaceDN/>
              <w:bidi w:val="0"/>
              <w:adjustRightInd/>
              <w:snapToGrid/>
              <w:spacing w:before="93" w:after="93"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w:t>
            </w:r>
            <w:r>
              <w:rPr>
                <w:rFonts w:hint="eastAsia" w:ascii="宋体" w:hAnsi="宋体" w:eastAsia="宋体" w:cs="宋体"/>
                <w:sz w:val="24"/>
                <w:szCs w:val="24"/>
              </w:rPr>
              <w:t>：</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项。得</w:t>
            </w:r>
            <w:r>
              <w:rPr>
                <w:rFonts w:hint="eastAsia" w:ascii="宋体" w:hAnsi="宋体" w:cs="宋体"/>
                <w:sz w:val="24"/>
                <w:szCs w:val="24"/>
                <w:lang w:val="en-US" w:eastAsia="zh-CN"/>
              </w:rPr>
              <w:t>3</w:t>
            </w:r>
            <w:r>
              <w:rPr>
                <w:rFonts w:hint="eastAsia" w:ascii="宋体" w:hAnsi="宋体" w:eastAsia="宋体" w:cs="宋体"/>
                <w:sz w:val="24"/>
                <w:szCs w:val="24"/>
              </w:rPr>
              <w:t>分；</w:t>
            </w:r>
          </w:p>
          <w:p w14:paraId="0121C17B">
            <w:pPr>
              <w:pStyle w:val="10"/>
              <w:keepNext w:val="0"/>
              <w:keepLines w:val="0"/>
              <w:pageBreakBefore w:val="0"/>
              <w:widowControl w:val="0"/>
              <w:kinsoku/>
              <w:wordWrap/>
              <w:overflowPunct/>
              <w:topLinePunct w:val="0"/>
              <w:autoSpaceDE/>
              <w:autoSpaceDN/>
              <w:bidi w:val="0"/>
              <w:adjustRightInd/>
              <w:snapToGrid/>
              <w:spacing w:before="93" w:after="93" w:line="240" w:lineRule="auto"/>
              <w:textAlignment w:val="auto"/>
              <w:rPr>
                <w:rFonts w:hint="eastAsia" w:ascii="宋体" w:hAnsi="宋体" w:eastAsia="宋体" w:cs="宋体"/>
                <w:sz w:val="24"/>
                <w:szCs w:val="24"/>
              </w:rPr>
            </w:pPr>
            <w:r>
              <w:rPr>
                <w:rFonts w:hint="eastAsia" w:ascii="宋体" w:hAnsi="宋体" w:eastAsia="宋体" w:cs="宋体"/>
                <w:sz w:val="24"/>
                <w:szCs w:val="24"/>
              </w:rPr>
              <w:t>一般：</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项。得</w:t>
            </w:r>
            <w:r>
              <w:rPr>
                <w:rFonts w:hint="eastAsia" w:ascii="宋体" w:hAnsi="宋体" w:cs="宋体"/>
                <w:snapToGrid w:val="0"/>
                <w:color w:val="000000"/>
                <w:spacing w:val="27"/>
                <w:kern w:val="0"/>
                <w:sz w:val="24"/>
                <w:szCs w:val="24"/>
                <w:lang w:val="en-US" w:eastAsia="zh-CN" w:bidi="ar-SA"/>
              </w:rPr>
              <w:t>1</w:t>
            </w:r>
            <w:r>
              <w:rPr>
                <w:rFonts w:hint="eastAsia" w:ascii="宋体" w:hAnsi="宋体" w:eastAsia="宋体" w:cs="宋体"/>
                <w:sz w:val="24"/>
                <w:szCs w:val="24"/>
              </w:rPr>
              <w:t>分。</w:t>
            </w:r>
          </w:p>
          <w:p w14:paraId="365A1336">
            <w:pPr>
              <w:pStyle w:val="10"/>
              <w:keepNext w:val="0"/>
              <w:keepLines w:val="0"/>
              <w:pageBreakBefore w:val="0"/>
              <w:widowControl w:val="0"/>
              <w:kinsoku/>
              <w:wordWrap/>
              <w:overflowPunct/>
              <w:topLinePunct w:val="0"/>
              <w:autoSpaceDE/>
              <w:autoSpaceDN/>
              <w:bidi w:val="0"/>
              <w:adjustRightInd/>
              <w:snapToGrid/>
              <w:spacing w:before="93" w:after="93"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r>
              <w:rPr>
                <w:rFonts w:hint="eastAsia" w:ascii="宋体" w:hAnsi="宋体" w:cs="宋体"/>
                <w:sz w:val="24"/>
                <w:szCs w:val="24"/>
                <w:lang w:val="en-US" w:eastAsia="zh-CN"/>
              </w:rPr>
              <w:t>本项最高得5分。</w:t>
            </w: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具有项目</w:t>
            </w:r>
            <w:r>
              <w:rPr>
                <w:rFonts w:hint="eastAsia" w:ascii="宋体" w:hAnsi="宋体" w:eastAsia="宋体" w:cs="宋体"/>
                <w:sz w:val="24"/>
                <w:szCs w:val="24"/>
                <w:lang w:eastAsia="zh-CN"/>
              </w:rPr>
              <w:t>业主单位公章</w:t>
            </w:r>
            <w:r>
              <w:rPr>
                <w:rFonts w:hint="eastAsia" w:ascii="宋体" w:hAnsi="宋体" w:eastAsia="宋体" w:cs="宋体"/>
                <w:sz w:val="24"/>
                <w:szCs w:val="24"/>
                <w:lang w:val="en-US" w:eastAsia="zh-CN"/>
              </w:rPr>
              <w:t>的</w:t>
            </w:r>
            <w:r>
              <w:rPr>
                <w:rFonts w:hint="eastAsia" w:ascii="宋体" w:hAnsi="宋体" w:cs="宋体"/>
                <w:sz w:val="24"/>
                <w:szCs w:val="24"/>
                <w:lang w:val="en-US" w:eastAsia="zh-CN"/>
              </w:rPr>
              <w:t>招标项目用户评价表复印件，并加盖投标人公章，不提供不得分</w:t>
            </w:r>
            <w:r>
              <w:rPr>
                <w:rFonts w:hint="eastAsia" w:ascii="宋体" w:hAnsi="宋体" w:eastAsia="宋体" w:cs="宋体"/>
                <w:sz w:val="24"/>
                <w:szCs w:val="24"/>
                <w:lang w:eastAsia="zh-CN"/>
              </w:rPr>
              <w:t>。</w:t>
            </w:r>
          </w:p>
        </w:tc>
        <w:tc>
          <w:tcPr>
            <w:tcW w:w="59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CCDF0D3">
            <w:pPr>
              <w:pStyle w:val="9"/>
              <w:jc w:val="center"/>
              <w:rPr>
                <w:rFonts w:hint="eastAsia" w:ascii="宋体" w:hAnsi="宋体" w:eastAsia="宋体" w:cs="宋体"/>
                <w:sz w:val="24"/>
                <w:szCs w:val="24"/>
              </w:rPr>
            </w:pPr>
          </w:p>
        </w:tc>
      </w:tr>
      <w:tr w14:paraId="3499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30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3B724F7">
            <w:pPr>
              <w:pStyle w:val="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5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8E66966">
            <w:pPr>
              <w:pStyle w:val="9"/>
              <w:jc w:val="center"/>
              <w:rPr>
                <w:rFonts w:hint="eastAsia" w:ascii="宋体" w:hAnsi="宋体" w:eastAsia="宋体" w:cs="宋体"/>
                <w:sz w:val="24"/>
                <w:lang w:val="en-US" w:eastAsia="zh-CN"/>
              </w:rPr>
            </w:pPr>
            <w:r>
              <w:rPr>
                <w:rFonts w:hint="eastAsia" w:ascii="宋体" w:hAnsi="宋体"/>
                <w:kern w:val="0"/>
                <w:szCs w:val="21"/>
              </w:rPr>
              <w:t>企业经营保障</w:t>
            </w:r>
          </w:p>
        </w:tc>
        <w:tc>
          <w:tcPr>
            <w:tcW w:w="38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7389952">
            <w:pPr>
              <w:pStyle w:val="9"/>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25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8E50066">
            <w:pPr>
              <w:tabs>
                <w:tab w:val="left" w:pos="720"/>
              </w:tabs>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企业的场地保障能力：根据企业开标、评标室配备数量、电子化开评标设备、办公环境情况进行考查：</w:t>
            </w:r>
          </w:p>
          <w:p w14:paraId="56A2DF71">
            <w:pPr>
              <w:tabs>
                <w:tab w:val="left" w:pos="720"/>
              </w:tabs>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优：3分；良2分；一般：1分。</w:t>
            </w:r>
          </w:p>
          <w:p w14:paraId="0581BC39">
            <w:pPr>
              <w:pStyle w:val="9"/>
              <w:rPr>
                <w:rFonts w:hint="eastAsia" w:ascii="宋体" w:hAnsi="宋体" w:eastAsia="宋体" w:cs="宋体"/>
                <w:sz w:val="24"/>
                <w:lang w:eastAsia="zh-CN"/>
              </w:rPr>
            </w:pPr>
            <w:r>
              <w:rPr>
                <w:rFonts w:hint="eastAsia" w:ascii="宋体" w:hAnsi="宋体" w:eastAsia="宋体" w:cs="宋体"/>
                <w:kern w:val="0"/>
                <w:sz w:val="24"/>
                <w:szCs w:val="24"/>
                <w:lang w:val="en-US" w:eastAsia="zh-CN" w:bidi="ar-SA"/>
              </w:rPr>
              <w:t>注：以所在地的公司设施为依据，须提供相关照片资料，不提供照片和提供非所在地公司设施依据的不得分。</w:t>
            </w:r>
          </w:p>
        </w:tc>
        <w:tc>
          <w:tcPr>
            <w:tcW w:w="59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2796964">
            <w:pPr>
              <w:pStyle w:val="9"/>
              <w:jc w:val="center"/>
              <w:rPr>
                <w:rFonts w:hint="eastAsia" w:ascii="宋体" w:hAnsi="宋体" w:eastAsia="宋体" w:cs="宋体"/>
                <w:sz w:val="24"/>
                <w:szCs w:val="24"/>
              </w:rPr>
            </w:pPr>
          </w:p>
        </w:tc>
      </w:tr>
      <w:tr w14:paraId="7139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64" w:type="pct"/>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58C78C">
            <w:pPr>
              <w:pStyle w:val="9"/>
              <w:jc w:val="center"/>
              <w:rPr>
                <w:rFonts w:hint="eastAsia" w:ascii="宋体" w:hAnsi="宋体" w:eastAsia="宋体" w:cs="宋体"/>
                <w:sz w:val="24"/>
                <w:szCs w:val="24"/>
              </w:rPr>
            </w:pPr>
            <w:r>
              <w:rPr>
                <w:rFonts w:hint="eastAsia" w:ascii="宋体" w:hAnsi="宋体" w:eastAsia="宋体" w:cs="宋体"/>
                <w:sz w:val="24"/>
                <w:szCs w:val="24"/>
              </w:rPr>
              <w:t>小计</w:t>
            </w:r>
          </w:p>
        </w:tc>
        <w:tc>
          <w:tcPr>
            <w:tcW w:w="38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78FF7C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c>
          <w:tcPr>
            <w:tcW w:w="325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5769440">
            <w:pPr>
              <w:rPr>
                <w:rFonts w:hint="eastAsia" w:ascii="宋体" w:hAnsi="宋体" w:eastAsia="宋体" w:cs="宋体"/>
                <w:kern w:val="0"/>
                <w:sz w:val="24"/>
                <w:szCs w:val="24"/>
              </w:rPr>
            </w:pPr>
          </w:p>
        </w:tc>
        <w:tc>
          <w:tcPr>
            <w:tcW w:w="599"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46129A">
            <w:pPr>
              <w:jc w:val="center"/>
              <w:rPr>
                <w:rFonts w:hint="eastAsia" w:ascii="宋体" w:hAnsi="宋体" w:eastAsia="宋体" w:cs="宋体"/>
                <w:sz w:val="24"/>
                <w:szCs w:val="24"/>
              </w:rPr>
            </w:pPr>
          </w:p>
        </w:tc>
      </w:tr>
    </w:tbl>
    <w:p w14:paraId="3A006DB9">
      <w:pPr>
        <w:rPr>
          <w:rFonts w:hint="eastAsia" w:ascii="宋体" w:hAnsi="宋体" w:eastAsia="宋体" w:cs="宋体"/>
          <w:b/>
          <w:kern w:val="44"/>
          <w:sz w:val="32"/>
          <w:szCs w:val="32"/>
          <w:lang w:eastAsia="zh-CN"/>
        </w:rPr>
      </w:pPr>
      <w:r>
        <w:rPr>
          <w:rFonts w:hint="eastAsia" w:ascii="宋体" w:hAnsi="宋体" w:eastAsia="宋体" w:cs="宋体"/>
          <w:b/>
          <w:kern w:val="44"/>
          <w:sz w:val="32"/>
          <w:szCs w:val="32"/>
          <w:lang w:eastAsia="zh-CN"/>
        </w:rPr>
        <w:br w:type="page"/>
      </w:r>
    </w:p>
    <w:p w14:paraId="0342BECC">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报价评审表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19"/>
        <w:gridCol w:w="1181"/>
        <w:gridCol w:w="3872"/>
        <w:gridCol w:w="1510"/>
      </w:tblGrid>
      <w:tr w14:paraId="186A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3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B22F50D">
            <w:pPr>
              <w:pStyle w:val="9"/>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14"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7AE93A">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评审项目</w:t>
            </w:r>
          </w:p>
        </w:tc>
        <w:tc>
          <w:tcPr>
            <w:tcW w:w="6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61B6580">
            <w:pPr>
              <w:pStyle w:val="9"/>
              <w:jc w:val="center"/>
              <w:rPr>
                <w:rFonts w:hint="eastAsia" w:ascii="宋体" w:hAnsi="宋体" w:eastAsia="宋体" w:cs="宋体"/>
                <w:b/>
                <w:bCs/>
                <w:sz w:val="24"/>
                <w:szCs w:val="24"/>
              </w:rPr>
            </w:pPr>
            <w:r>
              <w:rPr>
                <w:rFonts w:hint="eastAsia" w:ascii="宋体" w:hAnsi="宋体" w:eastAsia="宋体" w:cs="宋体"/>
                <w:b/>
                <w:bCs/>
                <w:sz w:val="24"/>
                <w:szCs w:val="24"/>
              </w:rPr>
              <w:t>满分值</w:t>
            </w:r>
          </w:p>
        </w:tc>
        <w:tc>
          <w:tcPr>
            <w:tcW w:w="2272"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2CADCAA">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8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88C9C7F">
            <w:pPr>
              <w:pStyle w:val="9"/>
              <w:jc w:val="center"/>
              <w:rPr>
                <w:rFonts w:hint="eastAsia" w:ascii="宋体" w:hAnsi="宋体" w:eastAsia="宋体" w:cs="宋体"/>
                <w:b/>
                <w:bCs/>
                <w:sz w:val="24"/>
                <w:szCs w:val="24"/>
              </w:rPr>
            </w:pPr>
            <w:r>
              <w:rPr>
                <w:rFonts w:hint="eastAsia" w:ascii="宋体" w:hAnsi="宋体" w:eastAsia="宋体" w:cs="宋体"/>
                <w:b/>
                <w:bCs/>
                <w:sz w:val="24"/>
                <w:szCs w:val="24"/>
              </w:rPr>
              <w:t>得分</w:t>
            </w:r>
          </w:p>
          <w:p w14:paraId="04017C21">
            <w:pPr>
              <w:pStyle w:val="9"/>
              <w:jc w:val="center"/>
              <w:rPr>
                <w:rFonts w:hint="eastAsia" w:ascii="宋体" w:hAnsi="宋体" w:eastAsia="宋体" w:cs="宋体"/>
                <w:b/>
                <w:bCs/>
                <w:sz w:val="24"/>
                <w:szCs w:val="24"/>
              </w:rPr>
            </w:pPr>
            <w:r>
              <w:rPr>
                <w:rFonts w:hint="eastAsia" w:ascii="宋体" w:hAnsi="宋体" w:eastAsia="宋体" w:cs="宋体"/>
                <w:b/>
                <w:bCs/>
                <w:sz w:val="24"/>
                <w:szCs w:val="24"/>
              </w:rPr>
              <w:t>情况</w:t>
            </w:r>
          </w:p>
        </w:tc>
      </w:tr>
      <w:tr w14:paraId="1BBD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43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622FAB8">
            <w:pPr>
              <w:pStyle w:val="9"/>
              <w:jc w:val="center"/>
              <w:rPr>
                <w:rFonts w:hint="eastAsia" w:ascii="宋体" w:hAnsi="宋体" w:eastAsia="宋体" w:cs="宋体"/>
                <w:sz w:val="24"/>
                <w:szCs w:val="24"/>
              </w:rPr>
            </w:pPr>
            <w:r>
              <w:rPr>
                <w:rFonts w:hint="eastAsia" w:ascii="宋体" w:hAnsi="宋体" w:eastAsia="宋体" w:cs="宋体"/>
                <w:sz w:val="24"/>
                <w:szCs w:val="24"/>
              </w:rPr>
              <w:t>1</w:t>
            </w:r>
          </w:p>
        </w:tc>
        <w:tc>
          <w:tcPr>
            <w:tcW w:w="714"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123FCAE">
            <w:pPr>
              <w:pStyle w:val="9"/>
              <w:jc w:val="center"/>
              <w:rPr>
                <w:rFonts w:hint="eastAsia" w:ascii="宋体" w:hAnsi="宋体" w:eastAsia="宋体" w:cs="宋体"/>
                <w:sz w:val="24"/>
                <w:szCs w:val="24"/>
              </w:rPr>
            </w:pPr>
            <w:r>
              <w:rPr>
                <w:rFonts w:hint="eastAsia" w:ascii="宋体" w:hAnsi="宋体" w:eastAsia="宋体" w:cs="宋体"/>
                <w:sz w:val="24"/>
                <w:szCs w:val="24"/>
              </w:rPr>
              <w:t>报价</w:t>
            </w:r>
          </w:p>
          <w:p w14:paraId="2E69085F">
            <w:pPr>
              <w:pStyle w:val="9"/>
              <w:jc w:val="center"/>
              <w:rPr>
                <w:rFonts w:hint="eastAsia" w:ascii="宋体" w:hAnsi="宋体" w:eastAsia="宋体" w:cs="宋体"/>
                <w:sz w:val="24"/>
                <w:szCs w:val="24"/>
              </w:rPr>
            </w:pPr>
            <w:r>
              <w:rPr>
                <w:rFonts w:hint="eastAsia" w:ascii="宋体" w:hAnsi="宋体" w:eastAsia="宋体" w:cs="宋体"/>
                <w:sz w:val="24"/>
                <w:szCs w:val="24"/>
              </w:rPr>
              <w:t>评审</w:t>
            </w:r>
          </w:p>
        </w:tc>
        <w:tc>
          <w:tcPr>
            <w:tcW w:w="6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28AB8B5">
            <w:pPr>
              <w:pStyle w:val="9"/>
              <w:jc w:val="center"/>
              <w:rPr>
                <w:rFonts w:hint="eastAsia" w:ascii="宋体" w:hAnsi="宋体" w:eastAsia="宋体" w:cs="宋体"/>
                <w:sz w:val="24"/>
                <w:szCs w:val="24"/>
              </w:rPr>
            </w:pPr>
            <w:r>
              <w:rPr>
                <w:rFonts w:hint="eastAsia" w:ascii="宋体" w:hAnsi="宋体" w:eastAsia="宋体" w:cs="宋体"/>
                <w:sz w:val="24"/>
                <w:szCs w:val="24"/>
              </w:rPr>
              <w:t>20</w:t>
            </w:r>
          </w:p>
        </w:tc>
        <w:tc>
          <w:tcPr>
            <w:tcW w:w="2272"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C91143C">
            <w:pPr>
              <w:pStyle w:val="9"/>
              <w:rPr>
                <w:rFonts w:hint="eastAsia" w:ascii="宋体" w:hAnsi="宋体" w:eastAsia="宋体" w:cs="宋体"/>
                <w:sz w:val="24"/>
                <w:szCs w:val="24"/>
              </w:rPr>
            </w:pPr>
            <w:r>
              <w:rPr>
                <w:rFonts w:hint="eastAsia" w:ascii="宋体" w:hAnsi="宋体" w:eastAsia="宋体" w:cs="宋体"/>
                <w:sz w:val="24"/>
                <w:szCs w:val="24"/>
              </w:rPr>
              <w:t>（1）投标人按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"http://www.sdpc.gov.cn/" </w:instrText>
            </w:r>
            <w:r>
              <w:rPr>
                <w:rFonts w:hint="eastAsia" w:ascii="宋体" w:hAnsi="宋体" w:eastAsia="宋体" w:cs="宋体"/>
                <w:sz w:val="24"/>
                <w:szCs w:val="24"/>
              </w:rPr>
              <w:fldChar w:fldCharType="separate"/>
            </w:r>
            <w:r>
              <w:rPr>
                <w:rFonts w:hint="eastAsia" w:ascii="宋体" w:hAnsi="宋体" w:eastAsia="宋体" w:cs="宋体"/>
                <w:sz w:val="24"/>
                <w:szCs w:val="24"/>
              </w:rPr>
              <w:t>国家计委</w:t>
            </w:r>
            <w:r>
              <w:rPr>
                <w:rFonts w:hint="eastAsia" w:ascii="宋体" w:hAnsi="宋体" w:eastAsia="宋体" w:cs="宋体"/>
                <w:sz w:val="24"/>
                <w:szCs w:val="24"/>
              </w:rPr>
              <w:fldChar w:fldCharType="end"/>
            </w:r>
            <w:r>
              <w:rPr>
                <w:rFonts w:hint="eastAsia" w:ascii="宋体" w:hAnsi="宋体" w:eastAsia="宋体" w:cs="宋体"/>
                <w:sz w:val="24"/>
                <w:szCs w:val="24"/>
              </w:rPr>
              <w:t>关于印发《招标代理服务收费管理暂行办法》的通知（计价格[2002]1980号）及《国家发展改革委关于降低部分建设项目收费标准规范收费行为等有关问题的通知》（发改价格[2011]534号）规定，以下浮率进行报价。</w:t>
            </w:r>
          </w:p>
          <w:p w14:paraId="2691788C">
            <w:pPr>
              <w:pStyle w:val="9"/>
              <w:rPr>
                <w:rFonts w:hint="eastAsia" w:ascii="宋体" w:hAnsi="宋体" w:eastAsia="宋体" w:cs="宋体"/>
                <w:sz w:val="24"/>
                <w:szCs w:val="24"/>
              </w:rPr>
            </w:pPr>
            <w:r>
              <w:rPr>
                <w:rFonts w:hint="eastAsia" w:ascii="宋体" w:hAnsi="宋体" w:eastAsia="宋体" w:cs="宋体"/>
                <w:sz w:val="24"/>
                <w:szCs w:val="24"/>
              </w:rPr>
              <w:t>（2）对通过初步审查的投标人，将评委会校核后的折扣率（1-下浮率）为评标价格。取各评标价格的平均价的100%作为评标基准价格；等于基准价格的投标报价定为20分，高于基准价格的评标价格则按其比例，每高于1％减1分，低于基准价格的评标价格也按其比例，每低于1％减0.5分，如此类推，最低扣至0分。</w:t>
            </w:r>
          </w:p>
        </w:tc>
        <w:tc>
          <w:tcPr>
            <w:tcW w:w="8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A7FB028">
            <w:pPr>
              <w:rPr>
                <w:rFonts w:hint="eastAsia" w:ascii="宋体" w:hAnsi="宋体" w:eastAsia="宋体" w:cs="宋体"/>
                <w:sz w:val="24"/>
                <w:szCs w:val="24"/>
              </w:rPr>
            </w:pPr>
          </w:p>
        </w:tc>
      </w:tr>
      <w:tr w14:paraId="018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8" w:type="pct"/>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2EB9604">
            <w:pPr>
              <w:pStyle w:val="9"/>
              <w:jc w:val="center"/>
              <w:rPr>
                <w:rFonts w:hint="eastAsia" w:ascii="宋体" w:hAnsi="宋体" w:eastAsia="宋体" w:cs="宋体"/>
                <w:sz w:val="24"/>
                <w:szCs w:val="24"/>
              </w:rPr>
            </w:pPr>
            <w:r>
              <w:rPr>
                <w:rFonts w:hint="eastAsia" w:ascii="宋体" w:hAnsi="宋体" w:eastAsia="宋体" w:cs="宋体"/>
                <w:sz w:val="24"/>
                <w:szCs w:val="24"/>
              </w:rPr>
              <w:t>小计</w:t>
            </w:r>
          </w:p>
        </w:tc>
        <w:tc>
          <w:tcPr>
            <w:tcW w:w="6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9FC586">
            <w:pPr>
              <w:pStyle w:val="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272"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D5CD87D">
            <w:pPr>
              <w:rPr>
                <w:rFonts w:hint="eastAsia" w:ascii="宋体" w:hAnsi="宋体" w:eastAsia="宋体" w:cs="宋体"/>
                <w:color w:val="4874CB" w:themeColor="accent1"/>
                <w:sz w:val="24"/>
                <w:szCs w:val="24"/>
                <w14:textFill>
                  <w14:solidFill>
                    <w14:schemeClr w14:val="accent1"/>
                  </w14:solidFill>
                </w14:textFill>
              </w:rPr>
            </w:pPr>
          </w:p>
        </w:tc>
        <w:tc>
          <w:tcPr>
            <w:tcW w:w="8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E86FE8A">
            <w:pPr>
              <w:rPr>
                <w:rFonts w:hint="eastAsia" w:ascii="宋体" w:hAnsi="宋体" w:eastAsia="宋体" w:cs="宋体"/>
                <w:sz w:val="24"/>
                <w:szCs w:val="24"/>
              </w:rPr>
            </w:pPr>
          </w:p>
        </w:tc>
      </w:tr>
    </w:tbl>
    <w:p w14:paraId="4ABE9BC2">
      <w:pPr>
        <w:pStyle w:val="6"/>
        <w:spacing w:line="480" w:lineRule="auto"/>
        <w:rPr>
          <w:rFonts w:hint="eastAsia" w:ascii="宋体" w:hAnsi="宋体" w:eastAsia="宋体" w:cs="宋体"/>
          <w:b/>
          <w:bCs/>
          <w:color w:val="FF0000"/>
          <w:sz w:val="24"/>
          <w:szCs w:val="24"/>
        </w:rPr>
      </w:pPr>
    </w:p>
    <w:p w14:paraId="30DD42B7">
      <w:pPr>
        <w:rPr>
          <w:rFonts w:hint="eastAsia" w:ascii="宋体" w:hAnsi="宋体" w:eastAsia="宋体" w:cs="宋体"/>
          <w:sz w:val="24"/>
          <w:szCs w:val="24"/>
        </w:rPr>
      </w:pPr>
    </w:p>
    <w:p w14:paraId="23826C67">
      <w:pPr>
        <w:rPr>
          <w:rFonts w:hint="eastAsia" w:ascii="宋体" w:hAnsi="宋体" w:eastAsia="宋体" w:cs="宋体"/>
          <w:sz w:val="24"/>
          <w:szCs w:val="24"/>
        </w:rPr>
      </w:pPr>
    </w:p>
    <w:p w14:paraId="11224060">
      <w:pPr>
        <w:jc w:val="center"/>
        <w:rPr>
          <w:rFonts w:hint="eastAsia" w:ascii="宋体" w:hAnsi="宋体" w:eastAsia="宋体" w:cs="宋体"/>
          <w:b/>
          <w:kern w:val="44"/>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540E440A"/>
    <w:rsid w:val="09AC744D"/>
    <w:rsid w:val="0D0351B5"/>
    <w:rsid w:val="321C59DC"/>
    <w:rsid w:val="3B951461"/>
    <w:rsid w:val="3EEB0959"/>
    <w:rsid w:val="53065945"/>
    <w:rsid w:val="540E440A"/>
    <w:rsid w:val="6FBB4369"/>
    <w:rsid w:val="77CD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pPr>
    <w:rPr>
      <w:sz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0"/>
    <w:rPr>
      <w:rFonts w:ascii="Times New Roman" w:hAnsi="Times New Roman" w:cs="Times New Roman"/>
      <w:szCs w:val="24"/>
    </w:rPr>
  </w:style>
  <w:style w:type="paragraph" w:customStyle="1" w:styleId="9">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0">
    <w:name w:val="灬图"/>
    <w:basedOn w:val="1"/>
    <w:autoRedefine/>
    <w:qFormat/>
    <w:uiPriority w:val="0"/>
    <w:pPr>
      <w:widowControl w:val="0"/>
      <w:adjustRightInd/>
      <w:snapToGrid/>
      <w:spacing w:after="0" w:line="276" w:lineRule="auto"/>
      <w:jc w:val="both"/>
    </w:pPr>
    <w:rPr>
      <w:rFonts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1039</Words>
  <Characters>1086</Characters>
  <Lines>0</Lines>
  <Paragraphs>0</Paragraphs>
  <TotalTime>24</TotalTime>
  <ScaleCrop>false</ScaleCrop>
  <LinksUpToDate>false</LinksUpToDate>
  <CharactersWithSpaces>1088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2024-10-28T00:32:00Z</dcterms:created>
  <dc:creator>可妮兔</dc:creator>
  <cp:lastModifiedBy>沐白</cp:lastModifiedBy>
  <dcterms:modified xsi:type="dcterms:W3CDTF">2024-10-29T04:40:02Z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9EF53EDB32624147802623B33D55EAD0_13</vt:lpwstr>
  </property>
</Properties>
</file>