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71960">
      <w:pPr>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cs="宋体"/>
          <w:sz w:val="32"/>
          <w:szCs w:val="32"/>
          <w:lang w:val="en-US" w:eastAsia="zh-CN"/>
        </w:rPr>
        <w:t>2</w:t>
      </w:r>
      <w:r>
        <w:rPr>
          <w:rFonts w:hint="eastAsia" w:ascii="宋体" w:hAnsi="宋体" w:eastAsia="宋体" w:cs="宋体"/>
          <w:sz w:val="32"/>
          <w:szCs w:val="32"/>
        </w:rPr>
        <w:t>：</w:t>
      </w:r>
    </w:p>
    <w:p w14:paraId="35F9429C">
      <w:pPr>
        <w:rPr>
          <w:rFonts w:hint="eastAsia" w:ascii="宋体" w:hAnsi="宋体" w:eastAsia="宋体" w:cs="宋体"/>
          <w:b/>
          <w:kern w:val="44"/>
          <w:sz w:val="32"/>
          <w:szCs w:val="32"/>
        </w:rPr>
      </w:pPr>
      <w:r>
        <w:rPr>
          <w:rFonts w:hint="eastAsia" w:ascii="宋体" w:hAnsi="宋体" w:eastAsia="宋体" w:cs="宋体"/>
          <w:b/>
          <w:kern w:val="44"/>
          <w:sz w:val="32"/>
          <w:szCs w:val="32"/>
        </w:rPr>
        <w:t>报名单位：</w:t>
      </w:r>
    </w:p>
    <w:p w14:paraId="7A1E1FC4">
      <w:pPr>
        <w:pStyle w:val="2"/>
        <w:jc w:val="center"/>
        <w:rPr>
          <w:rFonts w:hint="eastAsia"/>
        </w:rPr>
      </w:pPr>
      <w:r>
        <w:rPr>
          <w:rFonts w:hint="eastAsia" w:ascii="宋体" w:hAnsi="宋体" w:eastAsia="宋体" w:cs="宋体"/>
          <w:b/>
          <w:color w:val="auto"/>
          <w:sz w:val="32"/>
          <w:szCs w:val="32"/>
          <w:lang w:eastAsia="zh-CN"/>
        </w:rPr>
        <w:t>技术评审表</w:t>
      </w:r>
    </w:p>
    <w:tbl>
      <w:tblPr>
        <w:tblStyle w:val="7"/>
        <w:tblpPr w:leftFromText="180" w:rightFromText="180" w:vertAnchor="page" w:horzAnchor="page" w:tblpX="1679" w:tblpY="3767"/>
        <w:tblOverlap w:val="never"/>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63"/>
        <w:gridCol w:w="674"/>
        <w:gridCol w:w="5735"/>
        <w:gridCol w:w="811"/>
      </w:tblGrid>
      <w:tr w14:paraId="0BC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138CB71">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31822C6">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989D827">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D7FE322">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9E8E852">
            <w:pPr>
              <w:pStyle w:val="9"/>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得分情况</w:t>
            </w:r>
          </w:p>
        </w:tc>
      </w:tr>
      <w:tr w14:paraId="2E8D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95025B">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1</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85003AF">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项目实施方案</w:t>
            </w:r>
          </w:p>
          <w:p w14:paraId="5F6A4DDB">
            <w:pPr>
              <w:widowControl/>
              <w:shd w:val="clear" w:color="auto" w:fill="FFFFFF"/>
              <w:spacing w:line="420" w:lineRule="atLeast"/>
              <w:jc w:val="left"/>
              <w:rPr>
                <w:rFonts w:hint="eastAsia" w:ascii="宋体" w:hAnsi="宋体" w:eastAsia="宋体" w:cs="宋体"/>
                <w:sz w:val="24"/>
                <w:szCs w:val="24"/>
              </w:rPr>
            </w:pP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4A3C785">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10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29E48B0">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eastAsia="宋体" w:cs="宋体"/>
                <w:color w:val="auto"/>
                <w:kern w:val="0"/>
                <w:sz w:val="24"/>
                <w:szCs w:val="24"/>
                <w:highlight w:val="none"/>
                <w:shd w:val="clear" w:color="auto" w:fill="auto"/>
                <w:lang w:val="en-US" w:eastAsia="zh-CN"/>
              </w:rPr>
              <w:t>服务商</w:t>
            </w:r>
            <w:r>
              <w:rPr>
                <w:rFonts w:hint="eastAsia" w:ascii="宋体" w:hAnsi="宋体" w:eastAsia="宋体" w:cs="宋体"/>
                <w:color w:val="auto"/>
                <w:kern w:val="0"/>
                <w:sz w:val="24"/>
                <w:szCs w:val="24"/>
                <w:highlight w:val="none"/>
                <w:shd w:val="clear" w:color="auto" w:fill="auto"/>
              </w:rPr>
              <w:t>对招标代理工作内容和要求的理解情况，对提出实施招标代理业务的实施方案的科学性、可操作性进行评分：</w:t>
            </w:r>
          </w:p>
          <w:p w14:paraId="7FD613A5">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1.服务方案清晰完整、严谨合理，对项目实施方案非常详细，组织架构完善的，得</w:t>
            </w:r>
            <w:r>
              <w:rPr>
                <w:rFonts w:hint="eastAsia" w:ascii="宋体" w:hAnsi="宋体" w:eastAsia="宋体" w:cs="宋体"/>
                <w:color w:val="auto"/>
                <w:kern w:val="0"/>
                <w:sz w:val="24"/>
                <w:szCs w:val="24"/>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rPr>
              <w:t>分；</w:t>
            </w:r>
          </w:p>
          <w:p w14:paraId="12FE04B4">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2.服务方案完整、较详细合理，对项目实施方案较为详细，组织架构较好的，得</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分；</w:t>
            </w:r>
          </w:p>
          <w:p w14:paraId="02D3F62F">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3.服务方案简单，合理性一般，对项目实施方案一般，组织架构一般的，得</w:t>
            </w: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分；</w:t>
            </w:r>
          </w:p>
          <w:p w14:paraId="3D7C68EF">
            <w:pPr>
              <w:widowControl/>
              <w:shd w:val="clear" w:color="auto" w:fill="FFFFFF"/>
              <w:spacing w:line="420" w:lineRule="atLeast"/>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4.未提供对应方案</w:t>
            </w:r>
            <w:r>
              <w:rPr>
                <w:rFonts w:hint="eastAsia" w:ascii="宋体" w:hAnsi="宋体" w:eastAsia="宋体" w:cs="宋体"/>
                <w:color w:val="auto"/>
                <w:kern w:val="0"/>
                <w:sz w:val="24"/>
                <w:szCs w:val="24"/>
                <w:highlight w:val="none"/>
                <w:shd w:val="clear" w:color="auto" w:fill="auto"/>
                <w:lang w:val="en-US" w:eastAsia="zh-CN"/>
              </w:rPr>
              <w:t>的</w:t>
            </w:r>
            <w:r>
              <w:rPr>
                <w:rFonts w:hint="eastAsia" w:ascii="宋体" w:hAnsi="宋体" w:eastAsia="宋体" w:cs="宋体"/>
                <w:color w:val="auto"/>
                <w:kern w:val="0"/>
                <w:sz w:val="24"/>
                <w:szCs w:val="24"/>
                <w:highlight w:val="none"/>
                <w:shd w:val="clear" w:color="auto" w:fill="auto"/>
              </w:rPr>
              <w:t>，得0 分。</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155F41C">
            <w:pPr>
              <w:pStyle w:val="9"/>
              <w:spacing w:line="360" w:lineRule="auto"/>
              <w:rPr>
                <w:rFonts w:hint="eastAsia" w:ascii="宋体" w:hAnsi="宋体" w:eastAsia="宋体" w:cs="宋体"/>
                <w:sz w:val="24"/>
                <w:szCs w:val="24"/>
              </w:rPr>
            </w:pPr>
          </w:p>
        </w:tc>
      </w:tr>
      <w:tr w14:paraId="605C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664066B">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2</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DDB73D1">
            <w:pPr>
              <w:widowControl/>
              <w:shd w:val="clear" w:color="auto" w:fill="FFFFFF"/>
              <w:spacing w:line="420" w:lineRule="atLeast"/>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工作进度计划安排</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A04395B">
            <w:pPr>
              <w:widowControl/>
              <w:shd w:val="clear" w:color="auto" w:fill="FFFFFF"/>
              <w:spacing w:line="420" w:lineRule="atLeast"/>
              <w:jc w:val="center"/>
              <w:rPr>
                <w:rFonts w:hint="eastAsia" w:ascii="宋体" w:hAnsi="宋体" w:eastAsia="宋体" w:cs="宋体"/>
                <w:sz w:val="24"/>
                <w:szCs w:val="24"/>
                <w:lang w:eastAsia="zh-CN"/>
              </w:rPr>
            </w:pPr>
            <w:r>
              <w:rPr>
                <w:rFonts w:hint="eastAsia" w:ascii="宋体" w:hAnsi="宋体" w:eastAsia="宋体" w:cs="宋体"/>
                <w:color w:val="auto"/>
                <w:kern w:val="0"/>
                <w:sz w:val="24"/>
                <w:szCs w:val="24"/>
                <w:highlight w:val="none"/>
                <w:shd w:val="clear" w:color="auto" w:fill="auto"/>
                <w:lang w:val="en-US" w:eastAsia="zh-CN"/>
              </w:rPr>
              <w:t>10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3DBCAE7">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eastAsia="宋体" w:cs="宋体"/>
                <w:color w:val="auto"/>
                <w:kern w:val="0"/>
                <w:sz w:val="24"/>
                <w:szCs w:val="24"/>
                <w:highlight w:val="none"/>
                <w:shd w:val="clear" w:color="auto" w:fill="auto"/>
                <w:lang w:val="en-US" w:eastAsia="zh-CN"/>
              </w:rPr>
              <w:t>服务商</w:t>
            </w:r>
            <w:r>
              <w:rPr>
                <w:rFonts w:hint="eastAsia" w:ascii="宋体" w:hAnsi="宋体" w:eastAsia="宋体" w:cs="宋体"/>
                <w:color w:val="auto"/>
                <w:kern w:val="0"/>
                <w:sz w:val="24"/>
                <w:szCs w:val="24"/>
                <w:highlight w:val="none"/>
                <w:shd w:val="clear" w:color="auto" w:fill="auto"/>
              </w:rPr>
              <w:t>对</w:t>
            </w:r>
            <w:r>
              <w:rPr>
                <w:rFonts w:hint="eastAsia" w:ascii="宋体" w:hAnsi="宋体" w:eastAsia="宋体" w:cs="宋体"/>
                <w:color w:val="auto"/>
                <w:kern w:val="0"/>
                <w:sz w:val="24"/>
                <w:szCs w:val="24"/>
                <w:highlight w:val="none"/>
                <w:shd w:val="clear" w:color="auto" w:fill="auto"/>
                <w:lang w:val="en-US" w:eastAsia="zh-CN"/>
              </w:rPr>
              <w:t>招标</w:t>
            </w:r>
            <w:r>
              <w:rPr>
                <w:rFonts w:hint="eastAsia" w:ascii="宋体" w:hAnsi="宋体" w:eastAsia="宋体" w:cs="宋体"/>
                <w:color w:val="auto"/>
                <w:kern w:val="0"/>
                <w:sz w:val="24"/>
                <w:szCs w:val="24"/>
                <w:highlight w:val="none"/>
                <w:shd w:val="clear" w:color="auto" w:fill="auto"/>
              </w:rPr>
              <w:t>项目工作流程时间节点安排的科学性、合理性、响应积极性进行评分：</w:t>
            </w:r>
          </w:p>
          <w:p w14:paraId="2251D498">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1.工作进度计划安排的科学性、合理性高，可行性强，响应积极性高得</w:t>
            </w:r>
            <w:r>
              <w:rPr>
                <w:rFonts w:hint="eastAsia" w:ascii="宋体" w:hAnsi="宋体" w:eastAsia="宋体" w:cs="宋体"/>
                <w:color w:val="auto"/>
                <w:kern w:val="0"/>
                <w:sz w:val="24"/>
                <w:szCs w:val="24"/>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rPr>
              <w:t>分；</w:t>
            </w:r>
          </w:p>
          <w:p w14:paraId="4B0C7749">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2.工作进度计划安排的科学性、合理性</w:t>
            </w:r>
            <w:r>
              <w:rPr>
                <w:rFonts w:hint="eastAsia" w:ascii="宋体" w:hAnsi="宋体" w:eastAsia="宋体" w:cs="宋体"/>
                <w:color w:val="auto"/>
                <w:kern w:val="0"/>
                <w:sz w:val="24"/>
                <w:szCs w:val="24"/>
                <w:highlight w:val="none"/>
                <w:shd w:val="clear" w:color="auto" w:fill="auto"/>
                <w:lang w:val="en-US" w:eastAsia="zh-CN"/>
              </w:rPr>
              <w:t>较完善</w:t>
            </w:r>
            <w:r>
              <w:rPr>
                <w:rFonts w:hint="eastAsia" w:ascii="宋体" w:hAnsi="宋体" w:eastAsia="宋体" w:cs="宋体"/>
                <w:color w:val="auto"/>
                <w:kern w:val="0"/>
                <w:sz w:val="24"/>
                <w:szCs w:val="24"/>
                <w:highlight w:val="none"/>
                <w:shd w:val="clear" w:color="auto" w:fill="auto"/>
              </w:rPr>
              <w:t>，可行性</w:t>
            </w:r>
            <w:r>
              <w:rPr>
                <w:rFonts w:hint="eastAsia" w:ascii="宋体" w:hAnsi="宋体" w:eastAsia="宋体" w:cs="宋体"/>
                <w:color w:val="auto"/>
                <w:kern w:val="0"/>
                <w:sz w:val="24"/>
                <w:szCs w:val="24"/>
                <w:highlight w:val="none"/>
                <w:shd w:val="clear" w:color="auto" w:fill="auto"/>
                <w:lang w:val="en-US" w:eastAsia="zh-CN"/>
              </w:rPr>
              <w:t>较好</w:t>
            </w:r>
            <w:r>
              <w:rPr>
                <w:rFonts w:hint="eastAsia" w:ascii="宋体" w:hAnsi="宋体" w:eastAsia="宋体" w:cs="宋体"/>
                <w:color w:val="auto"/>
                <w:kern w:val="0"/>
                <w:sz w:val="24"/>
                <w:szCs w:val="24"/>
                <w:highlight w:val="none"/>
                <w:shd w:val="clear" w:color="auto" w:fill="auto"/>
              </w:rPr>
              <w:t>，响应积极性</w:t>
            </w:r>
            <w:r>
              <w:rPr>
                <w:rFonts w:hint="eastAsia" w:ascii="宋体" w:hAnsi="宋体" w:eastAsia="宋体" w:cs="宋体"/>
                <w:color w:val="auto"/>
                <w:kern w:val="0"/>
                <w:sz w:val="24"/>
                <w:szCs w:val="24"/>
                <w:highlight w:val="none"/>
                <w:shd w:val="clear" w:color="auto" w:fill="auto"/>
                <w:lang w:val="en-US" w:eastAsia="zh-CN"/>
              </w:rPr>
              <w:t>较合理</w:t>
            </w:r>
            <w:r>
              <w:rPr>
                <w:rFonts w:hint="eastAsia" w:ascii="宋体" w:hAnsi="宋体" w:eastAsia="宋体" w:cs="宋体"/>
                <w:color w:val="auto"/>
                <w:kern w:val="0"/>
                <w:sz w:val="24"/>
                <w:szCs w:val="24"/>
                <w:highlight w:val="none"/>
                <w:shd w:val="clear" w:color="auto" w:fill="auto"/>
              </w:rPr>
              <w:t>得</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分；</w:t>
            </w:r>
          </w:p>
          <w:p w14:paraId="2D9CFEE1">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3.工作进度计划安排的科学性、合理性一般，可行性较差，响应积极性差得</w:t>
            </w: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分；</w:t>
            </w:r>
          </w:p>
          <w:p w14:paraId="65075F8C">
            <w:pPr>
              <w:widowControl/>
              <w:shd w:val="clear" w:color="auto" w:fill="FFFFFF"/>
              <w:spacing w:line="420" w:lineRule="atLeast"/>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4.未提供工作进度计划安排</w:t>
            </w:r>
            <w:r>
              <w:rPr>
                <w:rFonts w:hint="eastAsia" w:ascii="宋体" w:hAnsi="宋体" w:eastAsia="宋体" w:cs="宋体"/>
                <w:color w:val="auto"/>
                <w:kern w:val="0"/>
                <w:sz w:val="24"/>
                <w:szCs w:val="24"/>
                <w:highlight w:val="none"/>
                <w:shd w:val="clear" w:color="auto" w:fill="auto"/>
                <w:lang w:val="en-US" w:eastAsia="zh-CN"/>
              </w:rPr>
              <w:t>的</w:t>
            </w:r>
            <w:r>
              <w:rPr>
                <w:rFonts w:hint="eastAsia" w:ascii="宋体" w:hAnsi="宋体" w:eastAsia="宋体" w:cs="宋体"/>
                <w:color w:val="auto"/>
                <w:kern w:val="0"/>
                <w:sz w:val="24"/>
                <w:szCs w:val="24"/>
                <w:highlight w:val="none"/>
                <w:shd w:val="clear" w:color="auto" w:fill="auto"/>
              </w:rPr>
              <w:t>，得0分。</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C4CC4E">
            <w:pPr>
              <w:pStyle w:val="9"/>
              <w:spacing w:line="360" w:lineRule="auto"/>
              <w:rPr>
                <w:rFonts w:hint="eastAsia" w:ascii="宋体" w:hAnsi="宋体" w:eastAsia="宋体" w:cs="宋体"/>
                <w:sz w:val="24"/>
                <w:szCs w:val="24"/>
              </w:rPr>
            </w:pPr>
          </w:p>
        </w:tc>
      </w:tr>
      <w:tr w14:paraId="6190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BBCC0D">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3</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3A8AFA6">
            <w:pPr>
              <w:widowControl/>
              <w:shd w:val="clear" w:color="auto" w:fill="FFFFFF"/>
              <w:spacing w:line="420" w:lineRule="atLeast"/>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重点难点及处理方案</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677CD7E">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10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320997C">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eastAsia="宋体" w:cs="宋体"/>
                <w:color w:val="auto"/>
                <w:kern w:val="0"/>
                <w:sz w:val="24"/>
                <w:szCs w:val="24"/>
                <w:highlight w:val="none"/>
                <w:shd w:val="clear" w:color="auto" w:fill="auto"/>
                <w:lang w:val="en-US" w:eastAsia="zh-CN"/>
              </w:rPr>
              <w:t>服务商</w:t>
            </w:r>
            <w:r>
              <w:rPr>
                <w:rFonts w:hint="eastAsia" w:ascii="宋体" w:hAnsi="宋体" w:eastAsia="宋体" w:cs="宋体"/>
                <w:color w:val="auto"/>
                <w:kern w:val="0"/>
                <w:sz w:val="24"/>
                <w:szCs w:val="24"/>
                <w:highlight w:val="none"/>
                <w:shd w:val="clear" w:color="auto" w:fill="auto"/>
              </w:rPr>
              <w:t>对招标代理工作中的重点难点表述及处理方案进行评分：</w:t>
            </w:r>
          </w:p>
          <w:p w14:paraId="4CEA55CE">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1.应对重点难点表述及处理方案，可行性高的，得1</w:t>
            </w:r>
            <w:r>
              <w:rPr>
                <w:rFonts w:hint="eastAsia" w:ascii="宋体" w:hAnsi="宋体" w:eastAsia="宋体" w:cs="宋体"/>
                <w:color w:val="auto"/>
                <w:kern w:val="0"/>
                <w:sz w:val="24"/>
                <w:szCs w:val="24"/>
                <w:highlight w:val="none"/>
                <w:shd w:val="clear" w:color="auto" w:fill="auto"/>
                <w:lang w:val="en-US" w:eastAsia="zh-CN"/>
              </w:rPr>
              <w:t>0</w:t>
            </w:r>
            <w:r>
              <w:rPr>
                <w:rFonts w:hint="eastAsia" w:ascii="宋体" w:hAnsi="宋体" w:eastAsia="宋体" w:cs="宋体"/>
                <w:color w:val="auto"/>
                <w:kern w:val="0"/>
                <w:sz w:val="24"/>
                <w:szCs w:val="24"/>
                <w:highlight w:val="none"/>
                <w:shd w:val="clear" w:color="auto" w:fill="auto"/>
              </w:rPr>
              <w:t>分；</w:t>
            </w:r>
          </w:p>
          <w:p w14:paraId="67ACAE86">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2.应对重点难点表述及处理方案较完善，具备一定的可行性的，</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分；</w:t>
            </w:r>
          </w:p>
          <w:p w14:paraId="255B0675">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3.应对重点难点表述及处理方案不够完善，可行性较差的，得</w:t>
            </w: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分；</w:t>
            </w:r>
          </w:p>
          <w:p w14:paraId="62A96D4C">
            <w:pPr>
              <w:widowControl/>
              <w:shd w:val="clear" w:color="auto" w:fill="FFFFFF"/>
              <w:spacing w:line="420" w:lineRule="atLeast"/>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rPr>
              <w:t>4.未提供对应方案的，得0 分。</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E935C77">
            <w:pPr>
              <w:pStyle w:val="9"/>
              <w:spacing w:line="360" w:lineRule="auto"/>
              <w:rPr>
                <w:rFonts w:hint="eastAsia" w:ascii="宋体" w:hAnsi="宋体" w:eastAsia="宋体" w:cs="宋体"/>
                <w:sz w:val="24"/>
                <w:szCs w:val="24"/>
              </w:rPr>
            </w:pPr>
          </w:p>
        </w:tc>
      </w:tr>
      <w:tr w14:paraId="0853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87630EE">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4</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7C2D55">
            <w:pPr>
              <w:widowControl/>
              <w:shd w:val="clear" w:color="auto" w:fill="FFFFFF"/>
              <w:spacing w:line="42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后续服务计划方案</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2C5097">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10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4D91911">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根据</w:t>
            </w:r>
            <w:r>
              <w:rPr>
                <w:rFonts w:hint="eastAsia" w:ascii="宋体" w:hAnsi="宋体" w:eastAsia="宋体" w:cs="宋体"/>
                <w:color w:val="auto"/>
                <w:kern w:val="0"/>
                <w:sz w:val="24"/>
                <w:szCs w:val="24"/>
                <w:highlight w:val="none"/>
                <w:shd w:val="clear" w:color="auto" w:fill="auto"/>
                <w:lang w:val="en-US" w:eastAsia="zh-CN"/>
              </w:rPr>
              <w:t>服务商</w:t>
            </w:r>
            <w:r>
              <w:rPr>
                <w:rFonts w:hint="eastAsia" w:ascii="宋体" w:hAnsi="宋体" w:eastAsia="宋体" w:cs="宋体"/>
                <w:color w:val="auto"/>
                <w:kern w:val="0"/>
                <w:sz w:val="24"/>
                <w:szCs w:val="24"/>
                <w:highlight w:val="none"/>
                <w:shd w:val="clear" w:color="auto" w:fill="auto"/>
              </w:rPr>
              <w:t>对采购项目后续工作的安排及出现紧急情况时的应急措施进行评分：</w:t>
            </w:r>
          </w:p>
          <w:p w14:paraId="4ABE5853">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1.后续服务方案合理，响应时间、出现紧急情况时的服务及应急措施响应或优于</w:t>
            </w:r>
            <w:r>
              <w:rPr>
                <w:rFonts w:hint="eastAsia" w:ascii="宋体" w:hAnsi="宋体" w:eastAsia="宋体" w:cs="宋体"/>
                <w:color w:val="auto"/>
                <w:kern w:val="0"/>
                <w:sz w:val="24"/>
                <w:szCs w:val="24"/>
                <w:highlight w:val="none"/>
                <w:shd w:val="clear" w:color="auto" w:fill="auto"/>
                <w:lang w:val="en-US" w:eastAsia="zh-CN"/>
              </w:rPr>
              <w:t>招标</w:t>
            </w:r>
            <w:r>
              <w:rPr>
                <w:rFonts w:hint="eastAsia" w:ascii="宋体" w:hAnsi="宋体" w:eastAsia="宋体" w:cs="宋体"/>
                <w:color w:val="auto"/>
                <w:kern w:val="0"/>
                <w:sz w:val="24"/>
                <w:szCs w:val="24"/>
                <w:highlight w:val="none"/>
                <w:shd w:val="clear" w:color="auto" w:fill="auto"/>
              </w:rPr>
              <w:t>要求的，得</w:t>
            </w:r>
            <w:r>
              <w:rPr>
                <w:rFonts w:hint="eastAsia" w:ascii="宋体" w:hAnsi="宋体" w:eastAsia="宋体" w:cs="宋体"/>
                <w:color w:val="auto"/>
                <w:kern w:val="0"/>
                <w:sz w:val="24"/>
                <w:szCs w:val="24"/>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rPr>
              <w:t>分；</w:t>
            </w:r>
          </w:p>
          <w:p w14:paraId="4F642DEA">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2.后续服务方案一般，响应时间、出现紧急情况时的服务及应急措施响应</w:t>
            </w:r>
            <w:r>
              <w:rPr>
                <w:rFonts w:hint="eastAsia" w:ascii="宋体" w:hAnsi="宋体" w:eastAsia="宋体" w:cs="宋体"/>
                <w:color w:val="auto"/>
                <w:kern w:val="0"/>
                <w:sz w:val="24"/>
                <w:szCs w:val="24"/>
                <w:highlight w:val="none"/>
                <w:shd w:val="clear" w:color="auto" w:fill="auto"/>
                <w:lang w:val="en-US" w:eastAsia="zh-CN"/>
              </w:rPr>
              <w:t>招标</w:t>
            </w:r>
            <w:r>
              <w:rPr>
                <w:rFonts w:hint="eastAsia" w:ascii="宋体" w:hAnsi="宋体" w:eastAsia="宋体" w:cs="宋体"/>
                <w:color w:val="auto"/>
                <w:kern w:val="0"/>
                <w:sz w:val="24"/>
                <w:szCs w:val="24"/>
                <w:highlight w:val="none"/>
                <w:shd w:val="clear" w:color="auto" w:fill="auto"/>
              </w:rPr>
              <w:t>要求的，得</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分；</w:t>
            </w:r>
          </w:p>
          <w:p w14:paraId="5901D492">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3.后续服务方案不</w:t>
            </w:r>
            <w:r>
              <w:rPr>
                <w:rFonts w:hint="eastAsia" w:ascii="宋体" w:hAnsi="宋体" w:eastAsia="宋体" w:cs="宋体"/>
                <w:color w:val="auto"/>
                <w:kern w:val="0"/>
                <w:sz w:val="24"/>
                <w:szCs w:val="24"/>
                <w:highlight w:val="none"/>
                <w:shd w:val="clear" w:color="auto" w:fill="auto"/>
                <w:lang w:val="en-US" w:eastAsia="zh-CN"/>
              </w:rPr>
              <w:t>够</w:t>
            </w:r>
            <w:r>
              <w:rPr>
                <w:rFonts w:hint="eastAsia" w:ascii="宋体" w:hAnsi="宋体" w:eastAsia="宋体" w:cs="宋体"/>
                <w:color w:val="auto"/>
                <w:kern w:val="0"/>
                <w:sz w:val="24"/>
                <w:szCs w:val="24"/>
                <w:highlight w:val="none"/>
                <w:shd w:val="clear" w:color="auto" w:fill="auto"/>
              </w:rPr>
              <w:t>合理，响应时间、出现紧急情况时的服务及应急措施响应</w:t>
            </w:r>
            <w:r>
              <w:rPr>
                <w:rFonts w:hint="eastAsia" w:ascii="宋体" w:hAnsi="宋体" w:eastAsia="宋体" w:cs="宋体"/>
                <w:color w:val="auto"/>
                <w:kern w:val="0"/>
                <w:sz w:val="24"/>
                <w:szCs w:val="24"/>
                <w:highlight w:val="none"/>
                <w:shd w:val="clear" w:color="auto" w:fill="auto"/>
                <w:lang w:val="en-US" w:eastAsia="zh-CN"/>
              </w:rPr>
              <w:t>招标</w:t>
            </w:r>
            <w:r>
              <w:rPr>
                <w:rFonts w:hint="eastAsia" w:ascii="宋体" w:hAnsi="宋体" w:eastAsia="宋体" w:cs="宋体"/>
                <w:color w:val="auto"/>
                <w:kern w:val="0"/>
                <w:sz w:val="24"/>
                <w:szCs w:val="24"/>
                <w:highlight w:val="none"/>
                <w:shd w:val="clear" w:color="auto" w:fill="auto"/>
              </w:rPr>
              <w:t>要求的，得</w:t>
            </w: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分；</w:t>
            </w:r>
          </w:p>
          <w:p w14:paraId="40CF53E3">
            <w:pPr>
              <w:widowControl/>
              <w:shd w:val="clear" w:color="auto" w:fill="FFFFFF"/>
              <w:spacing w:line="42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4.未提供后续服务计划方案</w:t>
            </w:r>
            <w:r>
              <w:rPr>
                <w:rFonts w:hint="eastAsia" w:ascii="宋体" w:hAnsi="宋体" w:eastAsia="宋体" w:cs="宋体"/>
                <w:color w:val="auto"/>
                <w:kern w:val="0"/>
                <w:sz w:val="24"/>
                <w:szCs w:val="24"/>
                <w:highlight w:val="none"/>
                <w:shd w:val="clear" w:color="auto" w:fill="auto"/>
                <w:lang w:val="en-US" w:eastAsia="zh-CN"/>
              </w:rPr>
              <w:t>的</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得</w:t>
            </w:r>
            <w:r>
              <w:rPr>
                <w:rFonts w:hint="eastAsia" w:ascii="宋体" w:hAnsi="宋体" w:eastAsia="宋体" w:cs="宋体"/>
                <w:color w:val="auto"/>
                <w:kern w:val="0"/>
                <w:sz w:val="24"/>
                <w:szCs w:val="24"/>
                <w:highlight w:val="none"/>
                <w:shd w:val="clear" w:color="auto" w:fill="auto"/>
              </w:rPr>
              <w:t>0分。</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53B47E">
            <w:pPr>
              <w:pStyle w:val="9"/>
              <w:spacing w:line="360" w:lineRule="auto"/>
              <w:rPr>
                <w:rFonts w:hint="eastAsia" w:ascii="宋体" w:hAnsi="宋体" w:eastAsia="宋体" w:cs="宋体"/>
                <w:sz w:val="24"/>
                <w:szCs w:val="24"/>
              </w:rPr>
            </w:pPr>
          </w:p>
        </w:tc>
      </w:tr>
      <w:tr w14:paraId="13F2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6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7593AC">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5</w:t>
            </w:r>
          </w:p>
        </w:tc>
        <w:tc>
          <w:tcPr>
            <w:tcW w:w="44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3124786">
            <w:pPr>
              <w:widowControl/>
              <w:shd w:val="clear" w:color="auto" w:fill="FFFFFF"/>
              <w:spacing w:line="42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服务质量保证措施</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57DA20E">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10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A5B1FE4">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提供招标代理服务质量保证措施，由评委会对各服务商进行评分:</w:t>
            </w:r>
          </w:p>
          <w:p w14:paraId="657D5379">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1.服务质量措施完善，针对性和可操作性强的，得</w:t>
            </w:r>
            <w:r>
              <w:rPr>
                <w:rFonts w:hint="eastAsia" w:ascii="宋体" w:hAnsi="宋体" w:eastAsia="宋体" w:cs="宋体"/>
                <w:color w:val="auto"/>
                <w:kern w:val="0"/>
                <w:sz w:val="24"/>
                <w:szCs w:val="24"/>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rPr>
              <w:t>分；</w:t>
            </w:r>
          </w:p>
          <w:p w14:paraId="59B655B0">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2.服务质量措施较完善，针对性和可操作性较强的，得</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分；</w:t>
            </w:r>
          </w:p>
          <w:p w14:paraId="2972040E">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3.服务质量措施一般，针对性和可操作性一般，得</w:t>
            </w: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分；</w:t>
            </w:r>
          </w:p>
          <w:p w14:paraId="6B169A4C">
            <w:pPr>
              <w:widowControl/>
              <w:shd w:val="clear" w:color="auto" w:fill="FFFFFF"/>
              <w:spacing w:line="42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4.</w:t>
            </w:r>
            <w:r>
              <w:rPr>
                <w:rFonts w:hint="eastAsia" w:ascii="宋体" w:hAnsi="宋体" w:eastAsia="宋体" w:cs="宋体"/>
                <w:color w:val="auto"/>
                <w:kern w:val="0"/>
                <w:sz w:val="24"/>
                <w:szCs w:val="24"/>
                <w:highlight w:val="none"/>
                <w:shd w:val="clear" w:color="auto" w:fill="auto"/>
                <w:lang w:val="en-US" w:eastAsia="zh-CN"/>
              </w:rPr>
              <w:t>未提供</w:t>
            </w:r>
            <w:r>
              <w:rPr>
                <w:rFonts w:hint="eastAsia" w:ascii="宋体" w:hAnsi="宋体" w:eastAsia="宋体" w:cs="宋体"/>
                <w:color w:val="auto"/>
                <w:kern w:val="0"/>
                <w:sz w:val="24"/>
                <w:szCs w:val="24"/>
                <w:highlight w:val="none"/>
                <w:shd w:val="clear" w:color="auto" w:fill="auto"/>
              </w:rPr>
              <w:t>对应</w:t>
            </w:r>
            <w:r>
              <w:rPr>
                <w:rFonts w:hint="eastAsia" w:ascii="宋体" w:hAnsi="宋体" w:eastAsia="宋体" w:cs="宋体"/>
                <w:color w:val="auto"/>
                <w:kern w:val="0"/>
                <w:sz w:val="24"/>
                <w:szCs w:val="24"/>
                <w:highlight w:val="none"/>
                <w:shd w:val="clear" w:color="auto" w:fill="auto"/>
                <w:lang w:val="en-US" w:eastAsia="zh-CN"/>
              </w:rPr>
              <w:t>保证措施</w:t>
            </w:r>
            <w:r>
              <w:rPr>
                <w:rFonts w:hint="eastAsia" w:ascii="宋体" w:hAnsi="宋体" w:eastAsia="宋体" w:cs="宋体"/>
                <w:color w:val="auto"/>
                <w:kern w:val="0"/>
                <w:sz w:val="24"/>
                <w:szCs w:val="24"/>
                <w:highlight w:val="none"/>
                <w:shd w:val="clear" w:color="auto" w:fill="auto"/>
              </w:rPr>
              <w:t>的，得0 分</w:t>
            </w:r>
            <w:r>
              <w:rPr>
                <w:rFonts w:hint="eastAsia" w:ascii="宋体" w:hAnsi="宋体" w:eastAsia="宋体" w:cs="宋体"/>
                <w:color w:val="auto"/>
                <w:kern w:val="0"/>
                <w:sz w:val="24"/>
                <w:szCs w:val="24"/>
                <w:highlight w:val="none"/>
                <w:shd w:val="clear" w:color="auto" w:fill="auto"/>
                <w:lang w:eastAsia="zh-CN"/>
              </w:rPr>
              <w:t>。</w:t>
            </w: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1FE9723">
            <w:pPr>
              <w:pStyle w:val="9"/>
              <w:spacing w:line="360" w:lineRule="auto"/>
              <w:rPr>
                <w:rFonts w:hint="eastAsia" w:ascii="宋体" w:hAnsi="宋体" w:eastAsia="宋体" w:cs="宋体"/>
                <w:sz w:val="24"/>
                <w:szCs w:val="24"/>
              </w:rPr>
            </w:pPr>
          </w:p>
        </w:tc>
      </w:tr>
      <w:tr w14:paraId="584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08"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473ECC">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小计</w:t>
            </w:r>
          </w:p>
        </w:tc>
        <w:tc>
          <w:tcPr>
            <w:tcW w:w="391"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B7FB2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3328"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8EAA2D1">
            <w:pPr>
              <w:pStyle w:val="9"/>
              <w:spacing w:line="360" w:lineRule="auto"/>
              <w:rPr>
                <w:rFonts w:hint="eastAsia" w:ascii="宋体" w:hAnsi="宋体" w:eastAsia="宋体" w:cs="宋体"/>
                <w:sz w:val="24"/>
                <w:szCs w:val="24"/>
              </w:rPr>
            </w:pPr>
          </w:p>
        </w:tc>
        <w:tc>
          <w:tcPr>
            <w:tcW w:w="470"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9AA79B0">
            <w:pPr>
              <w:pStyle w:val="9"/>
              <w:spacing w:line="360" w:lineRule="auto"/>
              <w:rPr>
                <w:rFonts w:hint="eastAsia" w:ascii="宋体" w:hAnsi="宋体" w:eastAsia="宋体" w:cs="宋体"/>
                <w:sz w:val="24"/>
                <w:szCs w:val="24"/>
              </w:rPr>
            </w:pPr>
          </w:p>
        </w:tc>
      </w:tr>
    </w:tbl>
    <w:p w14:paraId="57B6988F">
      <w:pPr>
        <w:spacing w:line="360" w:lineRule="auto"/>
        <w:jc w:val="center"/>
        <w:rPr>
          <w:rFonts w:hint="eastAsia" w:ascii="宋体" w:hAnsi="宋体" w:eastAsia="宋体" w:cs="宋体"/>
          <w:b/>
          <w:sz w:val="32"/>
          <w:szCs w:val="32"/>
        </w:rPr>
      </w:pPr>
    </w:p>
    <w:p w14:paraId="23233238">
      <w:pPr>
        <w:rPr>
          <w:rFonts w:hint="eastAsia" w:ascii="宋体" w:hAnsi="宋体" w:eastAsia="宋体" w:cs="宋体"/>
          <w:b/>
          <w:sz w:val="32"/>
          <w:szCs w:val="32"/>
        </w:rPr>
      </w:pPr>
      <w:r>
        <w:rPr>
          <w:rFonts w:hint="eastAsia" w:ascii="宋体" w:hAnsi="宋体" w:eastAsia="宋体" w:cs="宋体"/>
          <w:b/>
          <w:sz w:val="32"/>
          <w:szCs w:val="32"/>
        </w:rPr>
        <w:br w:type="page"/>
      </w:r>
    </w:p>
    <w:p w14:paraId="702D8E5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商务评审表</w:t>
      </w:r>
    </w:p>
    <w:tbl>
      <w:tblPr>
        <w:tblStyle w:val="7"/>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30"/>
        <w:gridCol w:w="697"/>
        <w:gridCol w:w="5917"/>
        <w:gridCol w:w="862"/>
      </w:tblGrid>
      <w:tr w14:paraId="2CF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31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67B09B0">
            <w:pPr>
              <w:pStyle w:val="9"/>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67"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0BD3027">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评审</w:t>
            </w:r>
          </w:p>
          <w:p w14:paraId="5BDFFFBA">
            <w:pPr>
              <w:pStyle w:val="9"/>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3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0F5073CC">
            <w:pPr>
              <w:pStyle w:val="9"/>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33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339760B">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4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255F3D5">
            <w:pPr>
              <w:pStyle w:val="9"/>
              <w:jc w:val="center"/>
              <w:rPr>
                <w:rFonts w:hint="eastAsia" w:ascii="宋体" w:hAnsi="宋体" w:eastAsia="宋体" w:cs="宋体"/>
                <w:b/>
                <w:bCs/>
                <w:sz w:val="24"/>
                <w:szCs w:val="24"/>
              </w:rPr>
            </w:pPr>
            <w:r>
              <w:rPr>
                <w:rFonts w:hint="eastAsia" w:ascii="宋体" w:hAnsi="宋体" w:eastAsia="宋体" w:cs="宋体"/>
                <w:b/>
                <w:bCs/>
                <w:sz w:val="24"/>
                <w:szCs w:val="24"/>
              </w:rPr>
              <w:t>得分情况</w:t>
            </w:r>
          </w:p>
        </w:tc>
      </w:tr>
      <w:tr w14:paraId="0870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15" w:type="pct"/>
            <w:tcBorders>
              <w:top w:val="single" w:color="000000" w:sz="0" w:space="0"/>
              <w:left w:val="single" w:color="000000" w:sz="0" w:space="0"/>
              <w:right w:val="single" w:color="000000" w:sz="0" w:space="0"/>
            </w:tcBorders>
            <w:tcMar>
              <w:top w:w="100" w:type="dxa"/>
              <w:bottom w:w="100" w:type="dxa"/>
            </w:tcMar>
            <w:vAlign w:val="center"/>
          </w:tcPr>
          <w:p w14:paraId="7EE0A416">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1</w:t>
            </w:r>
          </w:p>
        </w:tc>
        <w:tc>
          <w:tcPr>
            <w:tcW w:w="467" w:type="pct"/>
            <w:tcBorders>
              <w:top w:val="single" w:color="000000" w:sz="0" w:space="0"/>
              <w:left w:val="single" w:color="000000" w:sz="0" w:space="0"/>
              <w:right w:val="single" w:color="000000" w:sz="0" w:space="0"/>
            </w:tcBorders>
            <w:tcMar>
              <w:top w:w="100" w:type="dxa"/>
              <w:bottom w:w="100" w:type="dxa"/>
            </w:tcMar>
            <w:vAlign w:val="center"/>
          </w:tcPr>
          <w:p w14:paraId="706BAB9E">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企业业绩</w:t>
            </w:r>
          </w:p>
          <w:p w14:paraId="5763B874">
            <w:pPr>
              <w:pStyle w:val="2"/>
              <w:ind w:left="0" w:leftChars="0" w:firstLine="0" w:firstLineChars="0"/>
              <w:rPr>
                <w:rFonts w:hint="eastAsia" w:ascii="宋体" w:hAnsi="宋体" w:eastAsia="宋体" w:cs="宋体"/>
                <w:sz w:val="24"/>
                <w:szCs w:val="24"/>
              </w:rPr>
            </w:pPr>
          </w:p>
        </w:tc>
        <w:tc>
          <w:tcPr>
            <w:tcW w:w="3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D438159">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15</w:t>
            </w:r>
          </w:p>
        </w:tc>
        <w:tc>
          <w:tcPr>
            <w:tcW w:w="33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8884C89">
            <w:pPr>
              <w:widowControl/>
              <w:shd w:val="clear" w:color="auto" w:fill="FFFFFF"/>
              <w:spacing w:line="420" w:lineRule="atLeast"/>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2021年1月1日至今施工类的公开招标代理业绩：每提供一个业绩得3分，最高15分。（提供业绩项目清单，招标代理合同复印件及中标（成交）项目的中标（成交）通知书复印件并加盖公章。无提供证明资料者得0分）</w:t>
            </w:r>
          </w:p>
        </w:tc>
        <w:tc>
          <w:tcPr>
            <w:tcW w:w="4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CE7462A">
            <w:pPr>
              <w:widowControl/>
              <w:shd w:val="clear" w:color="auto" w:fill="FFFFFF"/>
              <w:spacing w:line="420" w:lineRule="atLeast"/>
              <w:jc w:val="center"/>
              <w:rPr>
                <w:rFonts w:hint="eastAsia" w:ascii="宋体" w:hAnsi="宋体" w:eastAsia="宋体" w:cs="宋体"/>
                <w:sz w:val="24"/>
                <w:szCs w:val="24"/>
              </w:rPr>
            </w:pPr>
          </w:p>
        </w:tc>
      </w:tr>
      <w:tr w14:paraId="1DEB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1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C37B02D">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2</w:t>
            </w:r>
          </w:p>
        </w:tc>
        <w:tc>
          <w:tcPr>
            <w:tcW w:w="467"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4D4286E">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企业实力</w:t>
            </w:r>
          </w:p>
          <w:p w14:paraId="3EAB9740">
            <w:pPr>
              <w:widowControl/>
              <w:shd w:val="clear" w:color="auto" w:fill="FFFFFF"/>
              <w:spacing w:line="42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lang w:val="en-US" w:eastAsia="zh-CN"/>
              </w:rPr>
              <w:t xml:space="preserve"> </w:t>
            </w:r>
          </w:p>
        </w:tc>
        <w:tc>
          <w:tcPr>
            <w:tcW w:w="3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3602613">
            <w:pPr>
              <w:widowControl/>
              <w:shd w:val="clear" w:color="auto" w:fill="FFFFFF"/>
              <w:spacing w:line="42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rPr>
              <w:t>6</w:t>
            </w:r>
          </w:p>
        </w:tc>
        <w:tc>
          <w:tcPr>
            <w:tcW w:w="33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463DEEC">
            <w:pPr>
              <w:widowControl/>
              <w:shd w:val="clear" w:color="auto" w:fill="FFFFFF"/>
              <w:spacing w:line="42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rPr>
              <w:t>服务商具有有效期内的①质量管理体系证书、②环境管理体系证书、③职业健康安全管理体系证书，每提供一个得2分，最高6分。（注：提供相关证书复印件并加盖公章。)</w:t>
            </w:r>
          </w:p>
        </w:tc>
        <w:tc>
          <w:tcPr>
            <w:tcW w:w="4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3968658">
            <w:pPr>
              <w:widowControl/>
              <w:shd w:val="clear" w:color="auto" w:fill="FFFFFF"/>
              <w:spacing w:line="420" w:lineRule="atLeast"/>
              <w:jc w:val="center"/>
              <w:rPr>
                <w:rFonts w:hint="eastAsia" w:ascii="宋体" w:hAnsi="宋体" w:eastAsia="宋体" w:cs="宋体"/>
                <w:sz w:val="24"/>
                <w:szCs w:val="24"/>
              </w:rPr>
            </w:pPr>
          </w:p>
        </w:tc>
      </w:tr>
      <w:tr w14:paraId="5C6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315"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57FB1D3">
            <w:pPr>
              <w:widowControl/>
              <w:shd w:val="clear" w:color="auto" w:fill="FFFFFF"/>
              <w:spacing w:line="420" w:lineRule="atLeast"/>
              <w:jc w:val="center"/>
              <w:rPr>
                <w:rFonts w:hint="eastAsia" w:ascii="宋体" w:hAnsi="宋体" w:eastAsia="宋体" w:cs="宋体"/>
                <w:sz w:val="24"/>
                <w:szCs w:val="24"/>
              </w:rPr>
            </w:pPr>
            <w:r>
              <w:rPr>
                <w:rFonts w:hint="eastAsia" w:ascii="宋体" w:hAnsi="宋体" w:eastAsia="宋体" w:cs="宋体"/>
                <w:color w:val="auto"/>
                <w:kern w:val="0"/>
                <w:sz w:val="24"/>
                <w:szCs w:val="24"/>
                <w:highlight w:val="none"/>
                <w:shd w:val="clear" w:color="auto" w:fill="auto"/>
                <w:lang w:val="en-US" w:eastAsia="zh-CN"/>
              </w:rPr>
              <w:t>3</w:t>
            </w:r>
          </w:p>
        </w:tc>
        <w:tc>
          <w:tcPr>
            <w:tcW w:w="467"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AEDBA4B">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技术团队</w:t>
            </w:r>
          </w:p>
          <w:p w14:paraId="0712E686">
            <w:pPr>
              <w:pStyle w:val="2"/>
              <w:ind w:left="0" w:leftChars="0" w:firstLine="0" w:firstLineChars="0"/>
              <w:rPr>
                <w:rFonts w:hint="eastAsia" w:ascii="宋体" w:hAnsi="宋体" w:eastAsia="宋体" w:cs="宋体"/>
                <w:sz w:val="24"/>
                <w:szCs w:val="24"/>
              </w:rPr>
            </w:pPr>
          </w:p>
        </w:tc>
        <w:tc>
          <w:tcPr>
            <w:tcW w:w="3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C0AFBB">
            <w:pPr>
              <w:widowControl/>
              <w:shd w:val="clear" w:color="auto" w:fill="FFFFFF"/>
              <w:spacing w:line="420" w:lineRule="atLeast"/>
              <w:jc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shd w:val="clear" w:color="auto" w:fill="auto"/>
                <w:lang w:val="en-US" w:eastAsia="zh-CN"/>
              </w:rPr>
              <w:t>9</w:t>
            </w:r>
          </w:p>
        </w:tc>
        <w:tc>
          <w:tcPr>
            <w:tcW w:w="33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FDBAEAE">
            <w:pPr>
              <w:widowControl/>
              <w:numPr>
                <w:ilvl w:val="0"/>
                <w:numId w:val="1"/>
              </w:numPr>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对服务商拟投入本项目的项目负责人（1名）资格水平情况进行比较：</w:t>
            </w:r>
          </w:p>
          <w:p w14:paraId="15D7EC69">
            <w:pPr>
              <w:widowControl/>
              <w:numPr>
                <w:ilvl w:val="0"/>
                <w:numId w:val="0"/>
              </w:numPr>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（1）提供项目负责人具有工程类高级工程师职称的，得5分；</w:t>
            </w:r>
          </w:p>
          <w:p w14:paraId="17008C2F">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（2）提供项目负责人具有工程类中级工程师职称的，得3分；</w:t>
            </w:r>
          </w:p>
          <w:p w14:paraId="4B8FC3CE">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最高得5分。</w:t>
            </w:r>
          </w:p>
          <w:p w14:paraId="2092F9DD">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2.拟投入的专业人员（2名）：</w:t>
            </w:r>
          </w:p>
          <w:p w14:paraId="4D5C0954">
            <w:pPr>
              <w:widowControl/>
              <w:shd w:val="clear" w:color="auto" w:fill="FFFFFF"/>
              <w:spacing w:line="420" w:lineRule="atLeast"/>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具有工程类中级职称工程师，每提供一个得2分，最高得4分。</w:t>
            </w:r>
          </w:p>
          <w:p w14:paraId="2B7E0DEE">
            <w:pPr>
              <w:widowControl/>
              <w:shd w:val="clear" w:color="auto" w:fill="FFFFFF"/>
              <w:spacing w:line="420" w:lineRule="atLeast"/>
              <w:jc w:val="left"/>
              <w:rPr>
                <w:rFonts w:hint="eastAsia" w:ascii="宋体" w:hAnsi="宋体" w:eastAsia="宋体" w:cs="宋体"/>
                <w:sz w:val="24"/>
                <w:szCs w:val="24"/>
                <w:lang w:eastAsia="zh-CN"/>
              </w:rPr>
            </w:pPr>
            <w:r>
              <w:rPr>
                <w:rFonts w:hint="eastAsia" w:ascii="宋体" w:hAnsi="宋体" w:eastAsia="宋体" w:cs="宋体"/>
                <w:color w:val="auto"/>
                <w:kern w:val="0"/>
                <w:sz w:val="24"/>
                <w:szCs w:val="24"/>
                <w:highlight w:val="none"/>
                <w:shd w:val="clear" w:color="auto" w:fill="auto"/>
                <w:lang w:val="en-US" w:eastAsia="zh-CN"/>
              </w:rPr>
              <w:t>（注：提供以上人员的身份证、相关证书或证明材料复印件及投标单位在投标截止日前6个月内任意1个月为其购买社保证明的材料并加盖公章。）</w:t>
            </w:r>
          </w:p>
        </w:tc>
        <w:tc>
          <w:tcPr>
            <w:tcW w:w="4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CCDF0D3">
            <w:pPr>
              <w:widowControl/>
              <w:shd w:val="clear" w:color="auto" w:fill="FFFFFF"/>
              <w:spacing w:line="420" w:lineRule="atLeast"/>
              <w:jc w:val="center"/>
              <w:rPr>
                <w:rFonts w:hint="eastAsia" w:ascii="宋体" w:hAnsi="宋体" w:eastAsia="宋体" w:cs="宋体"/>
                <w:sz w:val="24"/>
                <w:szCs w:val="24"/>
              </w:rPr>
            </w:pPr>
          </w:p>
        </w:tc>
      </w:tr>
      <w:tr w14:paraId="7139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3"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58C78C">
            <w:pPr>
              <w:pStyle w:val="9"/>
              <w:jc w:val="center"/>
              <w:rPr>
                <w:rFonts w:hint="eastAsia" w:ascii="宋体" w:hAnsi="宋体" w:eastAsia="宋体" w:cs="宋体"/>
                <w:sz w:val="24"/>
                <w:szCs w:val="24"/>
              </w:rPr>
            </w:pPr>
            <w:r>
              <w:rPr>
                <w:rFonts w:hint="eastAsia" w:ascii="宋体" w:hAnsi="宋体" w:eastAsia="宋体" w:cs="宋体"/>
                <w:sz w:val="24"/>
                <w:szCs w:val="24"/>
              </w:rPr>
              <w:t>小计</w:t>
            </w:r>
          </w:p>
        </w:tc>
        <w:tc>
          <w:tcPr>
            <w:tcW w:w="3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78FF7C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33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5769440">
            <w:pPr>
              <w:rPr>
                <w:rFonts w:hint="eastAsia" w:ascii="宋体" w:hAnsi="宋体" w:eastAsia="宋体" w:cs="宋体"/>
                <w:kern w:val="0"/>
                <w:sz w:val="24"/>
                <w:szCs w:val="24"/>
              </w:rPr>
            </w:pPr>
            <w:bookmarkStart w:id="0" w:name="_GoBack"/>
            <w:bookmarkEnd w:id="0"/>
          </w:p>
        </w:tc>
        <w:tc>
          <w:tcPr>
            <w:tcW w:w="4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646129A">
            <w:pPr>
              <w:jc w:val="center"/>
              <w:rPr>
                <w:rFonts w:hint="eastAsia" w:ascii="宋体" w:hAnsi="宋体" w:eastAsia="宋体" w:cs="宋体"/>
                <w:sz w:val="24"/>
                <w:szCs w:val="24"/>
              </w:rPr>
            </w:pPr>
          </w:p>
        </w:tc>
      </w:tr>
    </w:tbl>
    <w:p w14:paraId="3A006DB9">
      <w:pPr>
        <w:rPr>
          <w:rFonts w:hint="eastAsia" w:ascii="宋体" w:hAnsi="宋体" w:eastAsia="宋体" w:cs="宋体"/>
          <w:b/>
          <w:kern w:val="44"/>
          <w:sz w:val="32"/>
          <w:szCs w:val="32"/>
          <w:lang w:eastAsia="zh-CN"/>
        </w:rPr>
      </w:pPr>
      <w:r>
        <w:rPr>
          <w:rFonts w:hint="eastAsia" w:ascii="宋体" w:hAnsi="宋体" w:eastAsia="宋体" w:cs="宋体"/>
          <w:b/>
          <w:kern w:val="44"/>
          <w:sz w:val="32"/>
          <w:szCs w:val="32"/>
          <w:lang w:eastAsia="zh-CN"/>
        </w:rPr>
        <w:br w:type="page"/>
      </w:r>
    </w:p>
    <w:p w14:paraId="0342BECC">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报价评审表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19"/>
        <w:gridCol w:w="1181"/>
        <w:gridCol w:w="3872"/>
        <w:gridCol w:w="1510"/>
      </w:tblGrid>
      <w:tr w14:paraId="186A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43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B22F50D">
            <w:pPr>
              <w:pStyle w:val="9"/>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4"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17AE93A">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61B6580">
            <w:pPr>
              <w:pStyle w:val="9"/>
              <w:jc w:val="center"/>
              <w:rPr>
                <w:rFonts w:hint="eastAsia" w:ascii="宋体" w:hAnsi="宋体" w:eastAsia="宋体" w:cs="宋体"/>
                <w:b/>
                <w:bCs/>
                <w:sz w:val="24"/>
                <w:szCs w:val="24"/>
              </w:rPr>
            </w:pPr>
            <w:r>
              <w:rPr>
                <w:rFonts w:hint="eastAsia" w:ascii="宋体" w:hAnsi="宋体" w:eastAsia="宋体" w:cs="宋体"/>
                <w:b/>
                <w:bCs/>
                <w:sz w:val="24"/>
                <w:szCs w:val="24"/>
              </w:rPr>
              <w:t>满分值</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42CADCAA">
            <w:pPr>
              <w:pStyle w:val="9"/>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88C9C7F">
            <w:pPr>
              <w:pStyle w:val="9"/>
              <w:jc w:val="center"/>
              <w:rPr>
                <w:rFonts w:hint="eastAsia" w:ascii="宋体" w:hAnsi="宋体" w:eastAsia="宋体" w:cs="宋体"/>
                <w:b/>
                <w:bCs/>
                <w:sz w:val="24"/>
                <w:szCs w:val="24"/>
              </w:rPr>
            </w:pPr>
            <w:r>
              <w:rPr>
                <w:rFonts w:hint="eastAsia" w:ascii="宋体" w:hAnsi="宋体" w:eastAsia="宋体" w:cs="宋体"/>
                <w:b/>
                <w:bCs/>
                <w:sz w:val="24"/>
                <w:szCs w:val="24"/>
              </w:rPr>
              <w:t>得分</w:t>
            </w:r>
          </w:p>
          <w:p w14:paraId="04017C21">
            <w:pPr>
              <w:pStyle w:val="9"/>
              <w:jc w:val="center"/>
              <w:rPr>
                <w:rFonts w:hint="eastAsia" w:ascii="宋体" w:hAnsi="宋体" w:eastAsia="宋体" w:cs="宋体"/>
                <w:b/>
                <w:bCs/>
                <w:sz w:val="24"/>
                <w:szCs w:val="24"/>
              </w:rPr>
            </w:pPr>
            <w:r>
              <w:rPr>
                <w:rFonts w:hint="eastAsia" w:ascii="宋体" w:hAnsi="宋体" w:eastAsia="宋体" w:cs="宋体"/>
                <w:b/>
                <w:bCs/>
                <w:sz w:val="24"/>
                <w:szCs w:val="24"/>
              </w:rPr>
              <w:t>情况</w:t>
            </w:r>
          </w:p>
        </w:tc>
      </w:tr>
      <w:tr w14:paraId="1BBD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43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622FAB8">
            <w:pPr>
              <w:pStyle w:val="9"/>
              <w:jc w:val="center"/>
              <w:rPr>
                <w:rFonts w:hint="eastAsia" w:ascii="宋体" w:hAnsi="宋体" w:eastAsia="宋体" w:cs="宋体"/>
                <w:sz w:val="24"/>
                <w:szCs w:val="24"/>
              </w:rPr>
            </w:pPr>
            <w:r>
              <w:rPr>
                <w:rFonts w:hint="eastAsia" w:ascii="宋体" w:hAnsi="宋体" w:eastAsia="宋体" w:cs="宋体"/>
                <w:sz w:val="24"/>
                <w:szCs w:val="24"/>
              </w:rPr>
              <w:t>1</w:t>
            </w:r>
          </w:p>
        </w:tc>
        <w:tc>
          <w:tcPr>
            <w:tcW w:w="714"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123FCAE">
            <w:pPr>
              <w:pStyle w:val="9"/>
              <w:jc w:val="center"/>
              <w:rPr>
                <w:rFonts w:hint="eastAsia" w:ascii="宋体" w:hAnsi="宋体" w:eastAsia="宋体" w:cs="宋体"/>
                <w:sz w:val="24"/>
                <w:szCs w:val="24"/>
              </w:rPr>
            </w:pPr>
            <w:r>
              <w:rPr>
                <w:rFonts w:hint="eastAsia" w:ascii="宋体" w:hAnsi="宋体" w:eastAsia="宋体" w:cs="宋体"/>
                <w:sz w:val="24"/>
                <w:szCs w:val="24"/>
              </w:rPr>
              <w:t>报价</w:t>
            </w:r>
          </w:p>
          <w:p w14:paraId="2E69085F">
            <w:pPr>
              <w:pStyle w:val="9"/>
              <w:jc w:val="center"/>
              <w:rPr>
                <w:rFonts w:hint="eastAsia" w:ascii="宋体" w:hAnsi="宋体" w:eastAsia="宋体" w:cs="宋体"/>
                <w:sz w:val="24"/>
                <w:szCs w:val="24"/>
              </w:rPr>
            </w:pPr>
            <w:r>
              <w:rPr>
                <w:rFonts w:hint="eastAsia" w:ascii="宋体" w:hAnsi="宋体" w:eastAsia="宋体" w:cs="宋体"/>
                <w:sz w:val="24"/>
                <w:szCs w:val="24"/>
              </w:rPr>
              <w:t>评审</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328AB8B5">
            <w:pPr>
              <w:pStyle w:val="9"/>
              <w:jc w:val="center"/>
              <w:rPr>
                <w:rFonts w:hint="eastAsia" w:ascii="宋体" w:hAnsi="宋体" w:eastAsia="宋体" w:cs="宋体"/>
                <w:sz w:val="24"/>
                <w:szCs w:val="24"/>
              </w:rPr>
            </w:pPr>
            <w:r>
              <w:rPr>
                <w:rFonts w:hint="eastAsia" w:ascii="宋体" w:hAnsi="宋体" w:eastAsia="宋体" w:cs="宋体"/>
                <w:sz w:val="24"/>
                <w:szCs w:val="24"/>
              </w:rPr>
              <w:t>20</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C91143C">
            <w:pPr>
              <w:pStyle w:val="9"/>
              <w:rPr>
                <w:rFonts w:hint="eastAsia" w:ascii="宋体" w:hAnsi="宋体" w:eastAsia="宋体" w:cs="宋体"/>
                <w:sz w:val="24"/>
                <w:szCs w:val="24"/>
              </w:rPr>
            </w:pPr>
            <w:r>
              <w:rPr>
                <w:rFonts w:hint="eastAsia" w:ascii="宋体" w:hAnsi="宋体" w:eastAsia="宋体" w:cs="宋体"/>
                <w:sz w:val="24"/>
                <w:szCs w:val="24"/>
              </w:rPr>
              <w:t>（1）投标人按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"http://www.sdpc.gov.cn/" </w:instrText>
            </w:r>
            <w:r>
              <w:rPr>
                <w:rFonts w:hint="eastAsia" w:ascii="宋体" w:hAnsi="宋体" w:eastAsia="宋体" w:cs="宋体"/>
                <w:sz w:val="24"/>
                <w:szCs w:val="24"/>
              </w:rPr>
              <w:fldChar w:fldCharType="separate"/>
            </w:r>
            <w:r>
              <w:rPr>
                <w:rFonts w:hint="eastAsia" w:ascii="宋体" w:hAnsi="宋体" w:eastAsia="宋体" w:cs="宋体"/>
                <w:sz w:val="24"/>
                <w:szCs w:val="24"/>
              </w:rPr>
              <w:t>国家计委</w:t>
            </w:r>
            <w:r>
              <w:rPr>
                <w:rFonts w:hint="eastAsia" w:ascii="宋体" w:hAnsi="宋体" w:eastAsia="宋体" w:cs="宋体"/>
                <w:sz w:val="24"/>
                <w:szCs w:val="24"/>
              </w:rPr>
              <w:fldChar w:fldCharType="end"/>
            </w:r>
            <w:r>
              <w:rPr>
                <w:rFonts w:hint="eastAsia" w:ascii="宋体" w:hAnsi="宋体" w:eastAsia="宋体" w:cs="宋体"/>
                <w:sz w:val="24"/>
                <w:szCs w:val="24"/>
              </w:rPr>
              <w:t>关于印发《招标代理服务收费管理暂行办法》的通知（计价格[2002]1980号）及《国家发展改革委关于降低部分建设项目收费标准规范收费行为等有关问题的通知》（发改价格[2011]534号）规定，以下浮率进行报价。</w:t>
            </w:r>
          </w:p>
          <w:p w14:paraId="2691788C">
            <w:pPr>
              <w:pStyle w:val="9"/>
              <w:rPr>
                <w:rFonts w:hint="eastAsia" w:ascii="宋体" w:hAnsi="宋体" w:eastAsia="宋体" w:cs="宋体"/>
                <w:sz w:val="24"/>
                <w:szCs w:val="24"/>
              </w:rPr>
            </w:pPr>
            <w:r>
              <w:rPr>
                <w:rFonts w:hint="eastAsia" w:ascii="宋体" w:hAnsi="宋体" w:eastAsia="宋体" w:cs="宋体"/>
                <w:sz w:val="24"/>
                <w:szCs w:val="24"/>
              </w:rPr>
              <w:t>（2）对通过初步审查的投标人，将评委会校核后的折扣率（1-下浮率）为评标价格。取各评标价格的平均价的100%作为评标基准价格；等于基准价格的投标报价定为20分，高于基准价格的评标价格则按其比例，每高于1％减1分，低于基准价格的评标价格也按其比例，每低于1％减0.5分，如此类推，最低扣至0分。</w:t>
            </w: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5A7FB028">
            <w:pPr>
              <w:rPr>
                <w:rFonts w:hint="eastAsia" w:ascii="宋体" w:hAnsi="宋体" w:eastAsia="宋体" w:cs="宋体"/>
                <w:sz w:val="24"/>
                <w:szCs w:val="24"/>
              </w:rPr>
            </w:pPr>
          </w:p>
        </w:tc>
      </w:tr>
      <w:tr w14:paraId="018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8" w:type="pct"/>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22EB9604">
            <w:pPr>
              <w:pStyle w:val="9"/>
              <w:jc w:val="center"/>
              <w:rPr>
                <w:rFonts w:hint="eastAsia" w:ascii="宋体" w:hAnsi="宋体" w:eastAsia="宋体" w:cs="宋体"/>
                <w:sz w:val="24"/>
                <w:szCs w:val="24"/>
              </w:rPr>
            </w:pPr>
            <w:r>
              <w:rPr>
                <w:rFonts w:hint="eastAsia" w:ascii="宋体" w:hAnsi="宋体" w:eastAsia="宋体" w:cs="宋体"/>
                <w:sz w:val="24"/>
                <w:szCs w:val="24"/>
              </w:rPr>
              <w:t>小计</w:t>
            </w:r>
          </w:p>
        </w:tc>
        <w:tc>
          <w:tcPr>
            <w:tcW w:w="693"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679FC586">
            <w:pPr>
              <w:pStyle w:val="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272"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7D5CD87D">
            <w:pPr>
              <w:rPr>
                <w:rFonts w:hint="eastAsia" w:ascii="宋体" w:hAnsi="宋体" w:eastAsia="宋体" w:cs="宋体"/>
                <w:color w:val="4874CB" w:themeColor="accent1"/>
                <w:sz w:val="24"/>
                <w:szCs w:val="24"/>
                <w14:textFill>
                  <w14:solidFill>
                    <w14:schemeClr w14:val="accent1"/>
                  </w14:solidFill>
                </w14:textFill>
              </w:rPr>
            </w:pPr>
          </w:p>
        </w:tc>
        <w:tc>
          <w:tcPr>
            <w:tcW w:w="886" w:type="pc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14:paraId="1E86FE8A">
            <w:pPr>
              <w:rPr>
                <w:rFonts w:hint="eastAsia" w:ascii="宋体" w:hAnsi="宋体" w:eastAsia="宋体" w:cs="宋体"/>
                <w:sz w:val="24"/>
                <w:szCs w:val="24"/>
              </w:rPr>
            </w:pPr>
          </w:p>
        </w:tc>
      </w:tr>
    </w:tbl>
    <w:p w14:paraId="4ABE9BC2">
      <w:pPr>
        <w:pStyle w:val="6"/>
        <w:spacing w:line="480" w:lineRule="auto"/>
        <w:rPr>
          <w:rFonts w:hint="eastAsia" w:ascii="宋体" w:hAnsi="宋体" w:eastAsia="宋体" w:cs="宋体"/>
          <w:b/>
          <w:bCs/>
          <w:color w:val="FF0000"/>
          <w:sz w:val="24"/>
          <w:szCs w:val="24"/>
        </w:rPr>
      </w:pPr>
    </w:p>
    <w:p w14:paraId="30DD42B7">
      <w:pPr>
        <w:rPr>
          <w:rFonts w:hint="eastAsia" w:ascii="宋体" w:hAnsi="宋体" w:eastAsia="宋体" w:cs="宋体"/>
          <w:sz w:val="24"/>
          <w:szCs w:val="24"/>
        </w:rPr>
      </w:pPr>
    </w:p>
    <w:p w14:paraId="23826C67">
      <w:pPr>
        <w:rPr>
          <w:rFonts w:hint="eastAsia" w:ascii="宋体" w:hAnsi="宋体" w:eastAsia="宋体" w:cs="宋体"/>
          <w:sz w:val="24"/>
          <w:szCs w:val="24"/>
        </w:rPr>
      </w:pPr>
    </w:p>
    <w:p w14:paraId="11224060">
      <w:pPr>
        <w:jc w:val="center"/>
        <w:rPr>
          <w:rFonts w:hint="eastAsia" w:ascii="宋体" w:hAnsi="宋体" w:eastAsia="宋体" w:cs="宋体"/>
          <w:b/>
          <w:kern w:val="44"/>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1D288"/>
    <w:multiLevelType w:val="singleLevel"/>
    <w:tmpl w:val="3481D2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ZDY3ZTY3Y2E4ZTQ1ODMyZDI2ZTczZjU0NDI1YmIifQ=="/>
  </w:docVars>
  <w:rsids>
    <w:rsidRoot w:val="540E440A"/>
    <w:rsid w:val="0774043F"/>
    <w:rsid w:val="09AC744D"/>
    <w:rsid w:val="0D0351B5"/>
    <w:rsid w:val="321C59DC"/>
    <w:rsid w:val="3B951461"/>
    <w:rsid w:val="3EEB0959"/>
    <w:rsid w:val="53065945"/>
    <w:rsid w:val="540E440A"/>
    <w:rsid w:val="577E256A"/>
    <w:rsid w:val="6FBB4369"/>
    <w:rsid w:val="77CD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0"/>
    <w:rPr>
      <w:rFonts w:ascii="Times New Roman" w:hAnsi="Times New Roman" w:cs="Times New Roman"/>
      <w:szCs w:val="24"/>
    </w:rPr>
  </w:style>
  <w:style w:type="paragraph" w:customStyle="1" w:styleId="9">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0">
    <w:name w:val="灬图"/>
    <w:basedOn w:val="1"/>
    <w:autoRedefine/>
    <w:qFormat/>
    <w:uiPriority w:val="0"/>
    <w:pPr>
      <w:widowControl w:val="0"/>
      <w:adjustRightInd/>
      <w:snapToGrid/>
      <w:spacing w:after="0" w:line="276" w:lineRule="auto"/>
      <w:jc w:val="both"/>
    </w:pPr>
    <w:rPr>
      <w:rFonts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1403</Words>
  <Characters>1468</Characters>
  <Lines>0</Lines>
  <Paragraphs>0</Paragraphs>
  <TotalTime>3</TotalTime>
  <ScaleCrop>false</ScaleCrop>
  <LinksUpToDate>false</LinksUpToDate>
  <CharactersWithSpaces>1470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2024-10-28T00:32:00Z</dcterms:created>
  <dc:creator>可妮兔</dc:creator>
  <cp:lastModifiedBy>Qurn</cp:lastModifiedBy>
  <dcterms:modified xsi:type="dcterms:W3CDTF">2024-11-18T09:07:57Z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9EF53EDB32624147802623B33D55EAD0_13</vt:lpwstr>
  </property>
</Properties>
</file>