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bookmarkStart w:id="0" w:name="_GoBack"/>
            <w:r>
              <w:rPr>
                <w:rFonts w:hint="eastAsia" w:ascii="方正小标宋简体" w:eastAsia="方正小标宋简体"/>
                <w:sz w:val="28"/>
                <w:szCs w:val="28"/>
                <w:highlight w:val="none"/>
              </w:rPr>
              <w:t>茂名滨海新区绿色化工和氢能产业园防洪潮能力提升建设工程可行性研究报告编制及相关专题（社会稳定风险评估报告、水工程建设规划同意书、洪水影响评价报告、河工模型试验研究报告）招标代理服务机构公开遴选报</w:t>
            </w:r>
            <w:r>
              <w:rPr>
                <w:rFonts w:hint="eastAsia" w:ascii="方正小标宋简体" w:eastAsia="方正小标宋简体"/>
                <w:sz w:val="28"/>
                <w:szCs w:val="28"/>
                <w:highlight w:val="none"/>
                <w:lang w:val="en-US" w:eastAsia="zh-CN"/>
              </w:rPr>
              <w:t>名</w:t>
            </w:r>
            <w:r>
              <w:rPr>
                <w:rFonts w:hint="eastAsia" w:ascii="方正小标宋简体" w:eastAsia="方正小标宋简体"/>
                <w:sz w:val="28"/>
                <w:szCs w:val="28"/>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03</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12</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eastAsia="zh-CN"/>
              </w:rPr>
              <w:t>茂名滨海新区丙烯酸项目接水工程施工</w:t>
            </w:r>
          </w:p>
        </w:tc>
      </w:tr>
      <w:tr w14:paraId="0AC44F15">
        <w:tblPrEx>
          <w:tblCellMar>
            <w:top w:w="0" w:type="dxa"/>
            <w:left w:w="108" w:type="dxa"/>
            <w:bottom w:w="0" w:type="dxa"/>
            <w:right w:w="108" w:type="dxa"/>
          </w:tblCellMar>
        </w:tblPrEx>
        <w:trPr>
          <w:gridAfter w:val="1"/>
          <w:wAfter w:w="176" w:type="dxa"/>
          <w:trHeight w:val="1076"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lang w:eastAsia="zh-CN"/>
              </w:rPr>
              <w:t xml:space="preserve"> 本项目主要分为两部分，分别为马店河下游段河道综合整治工程和滨海新区产业园区防洪排涝工程。根据初拟工程措施，参考类似工程单价，工程总投资约为7.43亿元。</w:t>
            </w:r>
          </w:p>
        </w:tc>
      </w:tr>
      <w:tr w14:paraId="50301CA6">
        <w:tblPrEx>
          <w:tblCellMar>
            <w:top w:w="0" w:type="dxa"/>
            <w:left w:w="108" w:type="dxa"/>
            <w:bottom w:w="0" w:type="dxa"/>
            <w:right w:w="108" w:type="dxa"/>
          </w:tblCellMar>
        </w:tblPrEx>
        <w:trPr>
          <w:gridAfter w:val="1"/>
          <w:wAfter w:w="176" w:type="dxa"/>
          <w:trHeight w:val="3099"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557"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389"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最高上限价4.9146万</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仿宋"/>
                <w:sz w:val="24"/>
                <w:szCs w:val="24"/>
                <w:highlight w:val="none"/>
                <w:lang w:eastAsia="zh-CN"/>
              </w:rPr>
              <w:t>茂名滨海新区绿色化工和氢能产业园防洪潮能力提升建设工程可行性研究报告编制及相关专题（社会稳定风险评估报告、水工程建设规划同意书、洪水影响评价报告、河工模型试验研究报告）</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rPr>
              <w:t>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04</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日</w:t>
            </w:r>
            <w:r>
              <w:rPr>
                <w:rFonts w:hint="eastAsia" w:ascii="宋体" w:hAnsi="宋体" w:eastAsia="宋体" w:cs="宋体"/>
                <w:color w:val="000000"/>
                <w:kern w:val="0"/>
                <w:sz w:val="24"/>
                <w:szCs w:val="24"/>
                <w:highlight w:val="none"/>
              </w:rPr>
              <w:t>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bookmarkEnd w:id="0"/>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E466BB2"/>
    <w:rsid w:val="10620F29"/>
    <w:rsid w:val="11515ABE"/>
    <w:rsid w:val="13080856"/>
    <w:rsid w:val="17623156"/>
    <w:rsid w:val="17CB6EEE"/>
    <w:rsid w:val="1C36099E"/>
    <w:rsid w:val="1E8C6387"/>
    <w:rsid w:val="25B87534"/>
    <w:rsid w:val="267F4FFC"/>
    <w:rsid w:val="280371E5"/>
    <w:rsid w:val="2ABF1892"/>
    <w:rsid w:val="2B480F7B"/>
    <w:rsid w:val="2BFD3F9C"/>
    <w:rsid w:val="2C436DF3"/>
    <w:rsid w:val="2CFB12A7"/>
    <w:rsid w:val="2FA841E8"/>
    <w:rsid w:val="31794E91"/>
    <w:rsid w:val="32B80A79"/>
    <w:rsid w:val="32BB1D49"/>
    <w:rsid w:val="36E8434B"/>
    <w:rsid w:val="37F30DCD"/>
    <w:rsid w:val="3A6D4E67"/>
    <w:rsid w:val="3B6E7F2E"/>
    <w:rsid w:val="3CB16407"/>
    <w:rsid w:val="3CED6733"/>
    <w:rsid w:val="3DC21BFB"/>
    <w:rsid w:val="3E2324CA"/>
    <w:rsid w:val="3E5A6583"/>
    <w:rsid w:val="41253D65"/>
    <w:rsid w:val="412A5860"/>
    <w:rsid w:val="41CC3178"/>
    <w:rsid w:val="42DD6902"/>
    <w:rsid w:val="43D015AC"/>
    <w:rsid w:val="48B14AB8"/>
    <w:rsid w:val="49307D36"/>
    <w:rsid w:val="4A767D68"/>
    <w:rsid w:val="4A7E1996"/>
    <w:rsid w:val="4D9A1FBF"/>
    <w:rsid w:val="4F2D7040"/>
    <w:rsid w:val="50FC11ED"/>
    <w:rsid w:val="54893732"/>
    <w:rsid w:val="58AC2BA6"/>
    <w:rsid w:val="5E525F9E"/>
    <w:rsid w:val="5F97010C"/>
    <w:rsid w:val="5FA01F47"/>
    <w:rsid w:val="66C622BA"/>
    <w:rsid w:val="6AFB4BCD"/>
    <w:rsid w:val="6CC87B57"/>
    <w:rsid w:val="6E714E05"/>
    <w:rsid w:val="710D46D2"/>
    <w:rsid w:val="737A105E"/>
    <w:rsid w:val="74161AF0"/>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608</Words>
  <Characters>650</Characters>
  <Lines>0</Lines>
  <Paragraphs>0</Paragraphs>
  <TotalTime>30</TotalTime>
  <ScaleCrop>false</ScaleCrop>
  <LinksUpToDate>false</LinksUpToDate>
  <CharactersWithSpaces>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2025-03-12T01:07:35Z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984F328379B2425D9DF7DD8B026DB927_12</vt:lpwstr>
  </property>
  <property fmtid="{D5CDD505-2E9C-101B-9397-08002B2CF9AE}" pid="4" name="KSOTemplateDocerSaveRecord">
    <vt:lpwstr>eyJoZGlkIjoiMDljYzUzMWQ4OWI0YzBkYjYzMDRhZTY5ZjZkYmFmYTgiLCJ1c2VySWQiOiIyNTAwMDE5MDkifQ==</vt:lpwstr>
  </property>
</Properties>
</file>