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9E03B">
      <w:pPr>
        <w:spacing w:line="600" w:lineRule="exact"/>
        <w:jc w:val="center"/>
        <w:rPr>
          <w:rFonts w:hint="eastAsia" w:ascii="仿宋_GB2312" w:eastAsia="仿宋_GB2312"/>
          <w:sz w:val="32"/>
          <w:szCs w:val="32"/>
        </w:rPr>
      </w:pPr>
      <w:r>
        <w:rPr>
          <w:rFonts w:hint="eastAsia" w:ascii="方正小标宋简体" w:eastAsia="方正小标宋简体"/>
          <w:spacing w:val="-20"/>
          <w:sz w:val="44"/>
          <w:szCs w:val="44"/>
        </w:rPr>
        <w:t>关于公开遴选G228国道滨海交警中队路段加装路灯项目</w:t>
      </w:r>
      <w:r>
        <w:rPr>
          <w:rFonts w:hint="eastAsia" w:ascii="方正小标宋简体" w:eastAsia="方正小标宋简体"/>
          <w:spacing w:val="-20"/>
          <w:sz w:val="44"/>
          <w:szCs w:val="44"/>
          <w:lang w:eastAsia="zh-CN"/>
        </w:rPr>
        <w:t>竞争性磋商</w:t>
      </w:r>
      <w:r>
        <w:rPr>
          <w:rFonts w:hint="eastAsia" w:ascii="方正小标宋简体" w:eastAsia="方正小标宋简体"/>
          <w:spacing w:val="-20"/>
          <w:sz w:val="44"/>
          <w:szCs w:val="44"/>
        </w:rPr>
        <w:t>代理服务的公告</w:t>
      </w:r>
    </w:p>
    <w:p w14:paraId="428C1159">
      <w:pPr>
        <w:spacing w:line="600" w:lineRule="exact"/>
        <w:rPr>
          <w:rFonts w:hint="eastAsia" w:ascii="仿宋_GB2312" w:eastAsia="仿宋_GB2312"/>
          <w:sz w:val="32"/>
          <w:szCs w:val="32"/>
        </w:rPr>
      </w:pPr>
    </w:p>
    <w:p w14:paraId="12825BFA">
      <w:pPr>
        <w:spacing w:line="600" w:lineRule="exact"/>
        <w:rPr>
          <w:rFonts w:hint="eastAsia" w:ascii="仿宋_GB2312" w:eastAsia="仿宋_GB2312"/>
          <w:sz w:val="32"/>
          <w:szCs w:val="32"/>
        </w:rPr>
      </w:pPr>
      <w:r>
        <w:rPr>
          <w:rFonts w:hint="eastAsia" w:ascii="仿宋_GB2312" w:eastAsia="仿宋_GB2312"/>
          <w:sz w:val="32"/>
          <w:szCs w:val="32"/>
        </w:rPr>
        <w:t>各单位：</w:t>
      </w:r>
    </w:p>
    <w:p w14:paraId="2E0F34BA">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我司有G228国道滨海交警中队路段加装路灯项目需要进行</w:t>
      </w:r>
      <w:r>
        <w:rPr>
          <w:rFonts w:hint="eastAsia" w:ascii="仿宋_GB2312" w:eastAsia="仿宋_GB2312"/>
          <w:sz w:val="32"/>
          <w:szCs w:val="32"/>
          <w:lang w:val="en-US" w:eastAsia="zh-CN"/>
        </w:rPr>
        <w:t>竞争性磋商</w:t>
      </w:r>
      <w:r>
        <w:rPr>
          <w:rFonts w:hint="eastAsia" w:ascii="仿宋_GB2312" w:eastAsia="仿宋_GB2312"/>
          <w:sz w:val="32"/>
          <w:szCs w:val="32"/>
        </w:rPr>
        <w:t>工作，项目为服务类</w:t>
      </w:r>
      <w:r>
        <w:rPr>
          <w:rFonts w:hint="eastAsia" w:ascii="仿宋_GB2312" w:eastAsia="仿宋_GB2312"/>
          <w:sz w:val="32"/>
          <w:szCs w:val="32"/>
          <w:lang w:eastAsia="zh-CN"/>
        </w:rPr>
        <w:t>竞争性磋商</w:t>
      </w:r>
      <w:r>
        <w:rPr>
          <w:rFonts w:hint="eastAsia" w:ascii="仿宋_GB2312" w:eastAsia="仿宋_GB2312"/>
          <w:sz w:val="32"/>
          <w:szCs w:val="32"/>
        </w:rPr>
        <w:t>项目。现阶段公开向社会遴选该项目的</w:t>
      </w:r>
      <w:r>
        <w:rPr>
          <w:rFonts w:hint="eastAsia" w:ascii="仿宋_GB2312" w:eastAsia="仿宋_GB2312"/>
          <w:sz w:val="32"/>
          <w:szCs w:val="32"/>
          <w:lang w:eastAsia="zh-CN"/>
        </w:rPr>
        <w:t>竞争性磋商</w:t>
      </w:r>
      <w:r>
        <w:rPr>
          <w:rFonts w:hint="eastAsia" w:ascii="仿宋_GB2312" w:eastAsia="仿宋_GB2312"/>
          <w:sz w:val="32"/>
          <w:szCs w:val="32"/>
        </w:rPr>
        <w:t>代理单位。报名格式及要求详见附件，请各意向单位于2025年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7</w:t>
      </w:r>
      <w:r>
        <w:rPr>
          <w:rFonts w:hint="eastAsia" w:ascii="仿宋_GB2312" w:eastAsia="仿宋_GB2312"/>
          <w:sz w:val="32"/>
          <w:szCs w:val="32"/>
        </w:rPr>
        <w:t>日17点</w:t>
      </w:r>
      <w:r>
        <w:rPr>
          <w:rFonts w:ascii="仿宋_GB2312" w:eastAsia="仿宋_GB2312"/>
          <w:sz w:val="32"/>
          <w:szCs w:val="32"/>
        </w:rPr>
        <w:t>前送达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rPr>
        <w:t>@</w:t>
      </w:r>
      <w:r>
        <w:rPr>
          <w:rFonts w:ascii="仿宋_GB2312" w:eastAsia="仿宋_GB2312"/>
          <w:sz w:val="32"/>
          <w:szCs w:val="32"/>
        </w:rPr>
        <w:t>qq.com。</w:t>
      </w:r>
      <w:r>
        <w:rPr>
          <w:rFonts w:hint="eastAsia" w:ascii="仿宋_GB2312" w:eastAsia="仿宋_GB2312"/>
          <w:sz w:val="32"/>
          <w:szCs w:val="32"/>
        </w:rPr>
        <w:t>代理服务遴选原则按综合评分法，随机抽取综合得分前三名的服务单位的其中一家代理单位作为服务单位。</w:t>
      </w:r>
    </w:p>
    <w:p w14:paraId="1866922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特此公告。</w:t>
      </w:r>
    </w:p>
    <w:p w14:paraId="32026A37">
      <w:pPr>
        <w:spacing w:line="600" w:lineRule="exact"/>
        <w:ind w:firstLine="640" w:firstLineChars="200"/>
        <w:rPr>
          <w:rFonts w:hint="eastAsia" w:ascii="仿宋_GB2312" w:eastAsia="仿宋_GB2312"/>
          <w:sz w:val="32"/>
          <w:szCs w:val="32"/>
        </w:rPr>
      </w:pPr>
    </w:p>
    <w:p w14:paraId="415B23D5">
      <w:pPr>
        <w:spacing w:line="600" w:lineRule="exact"/>
        <w:ind w:firstLine="640" w:firstLineChars="200"/>
        <w:rPr>
          <w:rFonts w:hint="eastAsia" w:ascii="仿宋_GB2312" w:eastAsia="仿宋_GB2312"/>
          <w:sz w:val="32"/>
          <w:szCs w:val="32"/>
        </w:rPr>
      </w:pPr>
    </w:p>
    <w:p w14:paraId="35FC583D">
      <w:pPr>
        <w:spacing w:line="600" w:lineRule="exact"/>
        <w:ind w:left="2238" w:leftChars="304" w:hanging="1600" w:hangingChars="500"/>
        <w:jc w:val="both"/>
        <w:rPr>
          <w:rFonts w:hint="eastAsia" w:ascii="仿宋_GB2312" w:eastAsia="仿宋_GB2312"/>
          <w:sz w:val="32"/>
          <w:szCs w:val="32"/>
        </w:rPr>
      </w:pPr>
      <w:r>
        <w:rPr>
          <w:rFonts w:hint="eastAsia" w:ascii="仿宋_GB2312" w:eastAsia="仿宋_GB2312"/>
          <w:sz w:val="32"/>
          <w:szCs w:val="32"/>
        </w:rPr>
        <w:t>附件：1. G228国道滨海交警中队路段加装路灯项目报名表</w:t>
      </w:r>
    </w:p>
    <w:p w14:paraId="2CD1DF13">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2.综合评分表</w:t>
      </w:r>
    </w:p>
    <w:p w14:paraId="0A679740">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w:t>
      </w:r>
    </w:p>
    <w:p w14:paraId="1696D97A">
      <w:pPr>
        <w:spacing w:line="600" w:lineRule="exact"/>
        <w:ind w:left="1559" w:leftChars="270" w:hanging="992" w:hangingChars="310"/>
        <w:rPr>
          <w:rFonts w:hint="eastAsia" w:ascii="仿宋_GB2312" w:eastAsia="仿宋_GB2312"/>
          <w:sz w:val="32"/>
          <w:szCs w:val="32"/>
        </w:rPr>
      </w:pPr>
    </w:p>
    <w:p w14:paraId="64B076A6">
      <w:pPr>
        <w:spacing w:line="600" w:lineRule="exact"/>
        <w:ind w:left="1559" w:leftChars="270" w:hanging="992" w:hangingChars="310"/>
        <w:rPr>
          <w:rFonts w:hint="eastAsia" w:ascii="仿宋_GB2312" w:eastAsia="仿宋_GB2312"/>
          <w:sz w:val="32"/>
          <w:szCs w:val="32"/>
        </w:rPr>
      </w:pPr>
    </w:p>
    <w:p w14:paraId="0F3F2B8F">
      <w:pPr>
        <w:spacing w:line="600" w:lineRule="exact"/>
        <w:jc w:val="cente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茂名滨海新城综合服务有限公司</w:t>
      </w:r>
      <w:r>
        <w:rPr>
          <w:rFonts w:ascii="仿宋_GB2312" w:eastAsia="仿宋_GB2312"/>
          <w:sz w:val="32"/>
          <w:szCs w:val="32"/>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p>
    <w:p w14:paraId="0576B5CA">
      <w:pPr>
        <w:widowControl/>
        <w:jc w:val="left"/>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                         </w:t>
      </w:r>
      <w:r>
        <w:rPr>
          <w:rFonts w:hint="eastAsia" w:ascii="仿宋_GB2312" w:eastAsia="仿宋_GB2312"/>
          <w:sz w:val="32"/>
          <w:szCs w:val="32"/>
          <w:lang w:val="en-US" w:eastAsia="zh-CN"/>
        </w:rPr>
        <w:t xml:space="preserve">         2025年4月1日</w:t>
      </w:r>
    </w:p>
    <w:p w14:paraId="2A9AB04A">
      <w:pPr>
        <w:widowControl/>
        <w:jc w:val="left"/>
        <w:rPr>
          <w:rFonts w:hint="eastAsia" w:ascii="仿宋_GB2312" w:eastAsia="仿宋_GB2312"/>
          <w:sz w:val="28"/>
          <w:szCs w:val="28"/>
        </w:rPr>
      </w:pPr>
    </w:p>
    <w:p w14:paraId="3628B9A2">
      <w:pPr>
        <w:widowControl/>
        <w:jc w:val="left"/>
        <w:rPr>
          <w:rFonts w:hint="eastAsia" w:ascii="仿宋_GB2312" w:eastAsia="仿宋_GB2312"/>
          <w:sz w:val="28"/>
          <w:szCs w:val="28"/>
        </w:rPr>
      </w:pPr>
      <w:r>
        <w:rPr>
          <w:rFonts w:hint="eastAsia" w:ascii="仿宋_GB2312" w:eastAsia="仿宋_GB2312"/>
          <w:sz w:val="28"/>
          <w:szCs w:val="28"/>
        </w:rPr>
        <w:t>附件1：</w:t>
      </w:r>
    </w:p>
    <w:tbl>
      <w:tblPr>
        <w:tblStyle w:val="5"/>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14:paraId="2C9BCC4A">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14:paraId="0EE37AB2">
            <w:pPr>
              <w:jc w:val="center"/>
              <w:rPr>
                <w:rFonts w:hint="eastAsia" w:ascii="方正小标宋简体" w:eastAsia="方正小标宋简体"/>
                <w:sz w:val="28"/>
                <w:szCs w:val="28"/>
              </w:rPr>
            </w:pPr>
            <w:r>
              <w:rPr>
                <w:rFonts w:hint="eastAsia" w:ascii="方正小标宋简体" w:eastAsia="方正小标宋简体"/>
                <w:sz w:val="28"/>
                <w:szCs w:val="28"/>
              </w:rPr>
              <w:t>G228国道滨海交警中队路段加装路灯项目</w:t>
            </w:r>
          </w:p>
          <w:p w14:paraId="1956A8F0">
            <w:pPr>
              <w:jc w:val="center"/>
              <w:rPr>
                <w:rFonts w:hint="eastAsia" w:ascii="方正小标宋简体" w:eastAsia="方正小标宋简体"/>
                <w:sz w:val="36"/>
                <w:szCs w:val="36"/>
              </w:rPr>
            </w:pPr>
            <w:r>
              <w:rPr>
                <w:rFonts w:hint="eastAsia" w:ascii="方正小标宋简体" w:eastAsia="方正小标宋简体"/>
                <w:sz w:val="28"/>
                <w:szCs w:val="28"/>
                <w:lang w:val="en-US" w:eastAsia="zh-CN"/>
              </w:rPr>
              <w:t>竞争性磋商</w:t>
            </w:r>
            <w:r>
              <w:rPr>
                <w:rFonts w:hint="eastAsia" w:ascii="方正小标宋简体" w:eastAsia="方正小标宋简体"/>
                <w:sz w:val="28"/>
                <w:szCs w:val="28"/>
              </w:rPr>
              <w:t>代理服务公开遴选报名表</w:t>
            </w:r>
          </w:p>
        </w:tc>
      </w:tr>
      <w:tr w14:paraId="3FE2CCF5">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14:paraId="6FF9093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业主单位发函时间：2025年</w:t>
            </w: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日</w:t>
            </w:r>
          </w:p>
        </w:tc>
      </w:tr>
      <w:tr w14:paraId="438E5F9E">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14:paraId="7ADDAE57">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14:paraId="257629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5A9C9C46">
            <w:pPr>
              <w:widowControl/>
              <w:jc w:val="center"/>
              <w:rPr>
                <w:rFonts w:hint="eastAsia" w:ascii="宋体" w:hAnsi="宋体" w:eastAsia="宋体" w:cs="仿宋"/>
                <w:sz w:val="24"/>
                <w:szCs w:val="24"/>
              </w:rPr>
            </w:pPr>
            <w:r>
              <w:rPr>
                <w:rFonts w:hint="eastAsia" w:ascii="宋体" w:hAnsi="宋体" w:eastAsia="宋体" w:cs="仿宋"/>
                <w:sz w:val="24"/>
                <w:szCs w:val="24"/>
              </w:rPr>
              <w:t>G228国道滨海交警中队路段加装路灯项目</w:t>
            </w:r>
          </w:p>
          <w:p w14:paraId="08A997B9">
            <w:pPr>
              <w:widowControl/>
              <w:jc w:val="center"/>
              <w:rPr>
                <w:rFonts w:hint="eastAsia" w:ascii="宋体" w:hAnsi="宋体" w:eastAsia="宋体" w:cs="仿宋"/>
                <w:sz w:val="24"/>
                <w:szCs w:val="24"/>
              </w:rPr>
            </w:pPr>
            <w:r>
              <w:rPr>
                <w:rFonts w:hint="eastAsia" w:ascii="宋体" w:hAnsi="宋体" w:eastAsia="宋体" w:cs="仿宋"/>
                <w:sz w:val="24"/>
                <w:szCs w:val="24"/>
                <w:lang w:eastAsia="zh-CN"/>
              </w:rPr>
              <w:t>竞争性磋商</w:t>
            </w:r>
            <w:r>
              <w:rPr>
                <w:rFonts w:hint="eastAsia" w:ascii="宋体" w:hAnsi="宋体" w:eastAsia="宋体" w:cs="仿宋"/>
                <w:sz w:val="24"/>
                <w:szCs w:val="24"/>
              </w:rPr>
              <w:t>代理服务</w:t>
            </w:r>
          </w:p>
        </w:tc>
      </w:tr>
      <w:tr w14:paraId="487C0B66">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14:paraId="47F6FA34">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68E973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5F011B2A">
            <w:pPr>
              <w:widowControl/>
              <w:rPr>
                <w:rFonts w:hint="eastAsia" w:ascii="宋体" w:hAnsi="宋体" w:eastAsia="宋体" w:cs="仿宋"/>
                <w:sz w:val="24"/>
                <w:szCs w:val="24"/>
              </w:rPr>
            </w:pPr>
            <w:r>
              <w:rPr>
                <w:rFonts w:hint="eastAsia" w:ascii="宋体" w:hAnsi="宋体" w:eastAsia="宋体" w:cs="仿宋"/>
                <w:sz w:val="24"/>
                <w:szCs w:val="24"/>
              </w:rPr>
              <w:t>我司有G228国道滨海交警中队路段加装路灯项目</w:t>
            </w:r>
            <w:r>
              <w:rPr>
                <w:rFonts w:hint="eastAsia" w:ascii="宋体" w:hAnsi="宋体" w:eastAsia="宋体" w:cs="仿宋"/>
                <w:sz w:val="24"/>
                <w:szCs w:val="24"/>
                <w:lang w:eastAsia="zh-CN"/>
              </w:rPr>
              <w:t>，</w:t>
            </w:r>
            <w:r>
              <w:rPr>
                <w:rFonts w:hint="eastAsia" w:ascii="宋体" w:hAnsi="宋体" w:eastAsia="宋体" w:cs="仿宋"/>
                <w:sz w:val="24"/>
                <w:szCs w:val="24"/>
                <w:lang w:val="en-US" w:eastAsia="zh-CN"/>
              </w:rPr>
              <w:t>项目施工图预算金额148158.76元，</w:t>
            </w:r>
            <w:r>
              <w:rPr>
                <w:rFonts w:hint="eastAsia" w:ascii="宋体" w:hAnsi="宋体" w:eastAsia="宋体" w:cs="仿宋"/>
                <w:sz w:val="24"/>
                <w:szCs w:val="24"/>
              </w:rPr>
              <w:t>需要进行</w:t>
            </w:r>
            <w:r>
              <w:rPr>
                <w:rFonts w:hint="eastAsia" w:ascii="宋体" w:hAnsi="宋体" w:eastAsia="宋体" w:cs="仿宋"/>
                <w:sz w:val="24"/>
                <w:szCs w:val="24"/>
                <w:lang w:eastAsia="zh-CN"/>
              </w:rPr>
              <w:t>竞争性磋商</w:t>
            </w:r>
            <w:r>
              <w:rPr>
                <w:rFonts w:hint="eastAsia" w:ascii="宋体" w:hAnsi="宋体" w:eastAsia="宋体" w:cs="仿宋"/>
                <w:sz w:val="24"/>
                <w:szCs w:val="24"/>
              </w:rPr>
              <w:t>工作</w:t>
            </w:r>
            <w:r>
              <w:rPr>
                <w:rFonts w:hint="eastAsia" w:ascii="宋体" w:hAnsi="宋体" w:eastAsia="宋体" w:cs="仿宋"/>
                <w:sz w:val="24"/>
                <w:szCs w:val="24"/>
                <w:lang w:eastAsia="zh-CN"/>
              </w:rPr>
              <w:t>，</w:t>
            </w:r>
            <w:r>
              <w:rPr>
                <w:rFonts w:hint="eastAsia" w:ascii="宋体" w:hAnsi="宋体" w:eastAsia="宋体" w:cs="仿宋"/>
                <w:sz w:val="24"/>
                <w:szCs w:val="24"/>
                <w:lang w:val="en-US" w:eastAsia="zh-CN"/>
              </w:rPr>
              <w:t>采购优质供应商</w:t>
            </w:r>
            <w:r>
              <w:rPr>
                <w:rFonts w:hint="eastAsia" w:ascii="宋体" w:hAnsi="宋体" w:eastAsia="宋体" w:cs="仿宋"/>
                <w:sz w:val="24"/>
                <w:szCs w:val="24"/>
              </w:rPr>
              <w:t>。为做好</w:t>
            </w:r>
            <w:r>
              <w:rPr>
                <w:rFonts w:hint="eastAsia" w:ascii="宋体" w:hAnsi="宋体" w:eastAsia="宋体" w:cs="仿宋"/>
                <w:sz w:val="24"/>
                <w:szCs w:val="24"/>
                <w:lang w:eastAsia="zh-CN"/>
              </w:rPr>
              <w:t>竞争性磋商</w:t>
            </w:r>
            <w:r>
              <w:rPr>
                <w:rFonts w:hint="eastAsia" w:ascii="宋体" w:hAnsi="宋体" w:eastAsia="宋体" w:cs="仿宋"/>
                <w:sz w:val="24"/>
                <w:szCs w:val="24"/>
              </w:rPr>
              <w:t>流程，现阶段公开向社会遴选该项目的</w:t>
            </w:r>
            <w:r>
              <w:rPr>
                <w:rFonts w:hint="eastAsia" w:ascii="宋体" w:hAnsi="宋体" w:eastAsia="宋体" w:cs="仿宋"/>
                <w:sz w:val="24"/>
                <w:szCs w:val="24"/>
                <w:lang w:eastAsia="zh-CN"/>
              </w:rPr>
              <w:t>竞争性磋商</w:t>
            </w:r>
            <w:r>
              <w:rPr>
                <w:rFonts w:hint="eastAsia" w:ascii="宋体" w:hAnsi="宋体" w:eastAsia="宋体" w:cs="仿宋"/>
                <w:sz w:val="24"/>
                <w:szCs w:val="24"/>
              </w:rPr>
              <w:t>代理单位。本项目的代理服务费报价形式以下浮率方式报价，实际产生代理服务费由项目实际中标单位支付，支付的金额</w:t>
            </w:r>
            <w:r>
              <w:rPr>
                <w:rFonts w:ascii="宋体" w:hAnsi="宋体" w:eastAsia="宋体" w:cs="仿宋"/>
                <w:sz w:val="24"/>
                <w:szCs w:val="24"/>
              </w:rPr>
              <w:t>=</w:t>
            </w:r>
            <w:r>
              <w:rPr>
                <w:rFonts w:hint="eastAsia" w:ascii="宋体" w:hAnsi="宋体" w:eastAsia="宋体" w:cs="仿宋"/>
                <w:sz w:val="24"/>
                <w:szCs w:val="24"/>
              </w:rPr>
              <w:t>实际中标金额参照</w:t>
            </w:r>
            <w:r>
              <w:rPr>
                <w:rFonts w:hint="eastAsia" w:ascii="宋体" w:hAnsi="宋体" w:eastAsia="宋体" w:cs="仿宋"/>
                <w:sz w:val="24"/>
                <w:szCs w:val="24"/>
                <w:lang w:eastAsia="zh-CN"/>
              </w:rPr>
              <w:t>竞争性磋商</w:t>
            </w:r>
            <w:r>
              <w:rPr>
                <w:rFonts w:hint="eastAsia" w:ascii="宋体" w:hAnsi="宋体" w:eastAsia="宋体" w:cs="仿宋"/>
                <w:sz w:val="24"/>
                <w:szCs w:val="24"/>
              </w:rPr>
              <w:t>代理服务收费管理暂行办法</w:t>
            </w:r>
            <w:r>
              <w:rPr>
                <w:rFonts w:ascii="宋体" w:hAnsi="宋体" w:eastAsia="宋体" w:cs="仿宋"/>
                <w:sz w:val="24"/>
                <w:szCs w:val="24"/>
              </w:rPr>
              <w:t>[</w:t>
            </w:r>
            <w:r>
              <w:rPr>
                <w:rFonts w:hint="eastAsia" w:ascii="宋体" w:hAnsi="宋体" w:eastAsia="宋体" w:cs="仿宋"/>
                <w:sz w:val="24"/>
                <w:szCs w:val="24"/>
              </w:rPr>
              <w:t>计价格</w:t>
            </w:r>
            <w:r>
              <w:rPr>
                <w:rFonts w:ascii="宋体" w:hAnsi="宋体" w:eastAsia="宋体" w:cs="仿宋"/>
                <w:sz w:val="24"/>
                <w:szCs w:val="24"/>
              </w:rPr>
              <w:t xml:space="preserve"> </w:t>
            </w:r>
            <w:r>
              <w:rPr>
                <w:rFonts w:hint="eastAsia" w:ascii="宋体" w:hAnsi="宋体" w:eastAsia="宋体" w:cs="仿宋"/>
                <w:sz w:val="24"/>
                <w:szCs w:val="24"/>
              </w:rPr>
              <w:t>［</w:t>
            </w:r>
            <w:r>
              <w:rPr>
                <w:rFonts w:ascii="宋体" w:hAnsi="宋体" w:eastAsia="宋体" w:cs="仿宋"/>
                <w:sz w:val="24"/>
                <w:szCs w:val="24"/>
              </w:rPr>
              <w:t>2002</w:t>
            </w:r>
            <w:r>
              <w:rPr>
                <w:rFonts w:hint="eastAsia" w:ascii="宋体" w:hAnsi="宋体" w:eastAsia="宋体" w:cs="仿宋"/>
                <w:sz w:val="24"/>
                <w:szCs w:val="24"/>
              </w:rPr>
              <w:t>］</w:t>
            </w:r>
            <w:r>
              <w:rPr>
                <w:rFonts w:ascii="宋体" w:hAnsi="宋体" w:eastAsia="宋体" w:cs="仿宋"/>
                <w:sz w:val="24"/>
                <w:szCs w:val="24"/>
              </w:rPr>
              <w:t>1980</w:t>
            </w:r>
            <w:r>
              <w:rPr>
                <w:rFonts w:hint="eastAsia" w:ascii="宋体" w:hAnsi="宋体" w:eastAsia="宋体" w:cs="仿宋"/>
                <w:sz w:val="24"/>
                <w:szCs w:val="24"/>
              </w:rPr>
              <w:t>号</w:t>
            </w:r>
            <w:r>
              <w:rPr>
                <w:rFonts w:ascii="宋体" w:hAnsi="宋体" w:eastAsia="宋体" w:cs="仿宋"/>
                <w:sz w:val="24"/>
                <w:szCs w:val="24"/>
              </w:rPr>
              <w:t>]</w:t>
            </w:r>
            <w:r>
              <w:rPr>
                <w:rFonts w:hint="eastAsia" w:ascii="宋体" w:hAnsi="宋体" w:eastAsia="宋体" w:cs="仿宋"/>
                <w:sz w:val="24"/>
                <w:szCs w:val="24"/>
              </w:rPr>
              <w:t>所得的</w:t>
            </w:r>
            <w:r>
              <w:rPr>
                <w:rFonts w:hint="eastAsia" w:ascii="宋体" w:hAnsi="宋体" w:eastAsia="宋体" w:cs="仿宋"/>
                <w:sz w:val="24"/>
                <w:szCs w:val="24"/>
                <w:lang w:eastAsia="zh-CN"/>
              </w:rPr>
              <w:t>竞争性磋商</w:t>
            </w:r>
            <w:r>
              <w:rPr>
                <w:rFonts w:hint="eastAsia" w:ascii="宋体" w:hAnsi="宋体" w:eastAsia="宋体" w:cs="仿宋"/>
                <w:sz w:val="24"/>
                <w:szCs w:val="24"/>
              </w:rPr>
              <w:t>代理服务费</w:t>
            </w:r>
            <w:r>
              <w:rPr>
                <w:rFonts w:ascii="宋体" w:hAnsi="宋体" w:eastAsia="宋体" w:cs="仿宋"/>
                <w:sz w:val="24"/>
                <w:szCs w:val="24"/>
              </w:rPr>
              <w:t>*</w:t>
            </w:r>
            <w:r>
              <w:rPr>
                <w:rFonts w:hint="eastAsia" w:ascii="宋体" w:hAnsi="宋体" w:eastAsia="宋体" w:cs="仿宋"/>
                <w:sz w:val="24"/>
                <w:szCs w:val="24"/>
              </w:rPr>
              <w:t>（</w:t>
            </w:r>
            <w:r>
              <w:rPr>
                <w:rFonts w:ascii="宋体" w:hAnsi="宋体" w:eastAsia="宋体" w:cs="仿宋"/>
                <w:sz w:val="24"/>
                <w:szCs w:val="24"/>
              </w:rPr>
              <w:t>1-</w:t>
            </w:r>
            <w:r>
              <w:rPr>
                <w:rFonts w:hint="eastAsia" w:ascii="宋体" w:hAnsi="宋体" w:eastAsia="宋体" w:cs="仿宋"/>
                <w:sz w:val="24"/>
                <w:szCs w:val="24"/>
              </w:rPr>
              <w:t>下浮率）</w:t>
            </w:r>
            <w:r>
              <w:rPr>
                <w:rFonts w:hint="eastAsia" w:ascii="宋体" w:hAnsi="宋体" w:eastAsia="宋体" w:cs="仿宋"/>
                <w:sz w:val="24"/>
                <w:szCs w:val="24"/>
                <w:lang w:val="en-US" w:eastAsia="zh-CN"/>
              </w:rPr>
              <w:t>+专家评审费</w:t>
            </w:r>
            <w:r>
              <w:rPr>
                <w:rFonts w:hint="eastAsia" w:ascii="宋体" w:hAnsi="宋体" w:eastAsia="宋体" w:cs="仿宋"/>
                <w:sz w:val="24"/>
                <w:szCs w:val="24"/>
              </w:rPr>
              <w:t>。</w:t>
            </w:r>
          </w:p>
        </w:tc>
      </w:tr>
      <w:tr w14:paraId="4CEB5D59">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14:paraId="59CE2C88">
            <w:pPr>
              <w:widowControl/>
              <w:jc w:val="left"/>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558F4D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759CF725">
            <w:pPr>
              <w:widowControl/>
              <w:rPr>
                <w:rFonts w:hint="eastAsia" w:ascii="宋体" w:hAnsi="宋体" w:eastAsia="宋体" w:cs="仿宋"/>
                <w:sz w:val="24"/>
                <w:szCs w:val="24"/>
              </w:rPr>
            </w:pPr>
            <w:r>
              <w:rPr>
                <w:rFonts w:hint="eastAsia" w:ascii="宋体" w:hAnsi="宋体" w:eastAsia="宋体" w:cs="仿宋"/>
                <w:sz w:val="24"/>
                <w:szCs w:val="24"/>
              </w:rPr>
              <w:t>主要工作内容如下：</w:t>
            </w:r>
          </w:p>
          <w:p w14:paraId="21C249DE">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w:t>
            </w:r>
            <w:r>
              <w:rPr>
                <w:rFonts w:hint="eastAsia" w:ascii="宋体" w:hAnsi="宋体" w:eastAsia="宋体" w:cs="仿宋"/>
                <w:sz w:val="24"/>
                <w:szCs w:val="24"/>
                <w:lang w:val="en-US" w:eastAsia="zh-CN"/>
              </w:rPr>
              <w:t>竞争性磋商</w:t>
            </w:r>
            <w:r>
              <w:rPr>
                <w:rFonts w:ascii="宋体" w:hAnsi="宋体" w:eastAsia="宋体" w:cs="仿宋"/>
                <w:sz w:val="24"/>
                <w:szCs w:val="24"/>
              </w:rPr>
              <w:t>文件，</w:t>
            </w:r>
            <w:r>
              <w:rPr>
                <w:rFonts w:hint="eastAsia" w:ascii="宋体" w:hAnsi="宋体" w:eastAsia="宋体" w:cs="仿宋"/>
                <w:sz w:val="24"/>
                <w:szCs w:val="24"/>
              </w:rPr>
              <w:t>把控</w:t>
            </w:r>
            <w:r>
              <w:rPr>
                <w:rFonts w:hint="eastAsia" w:ascii="宋体" w:hAnsi="宋体" w:eastAsia="宋体" w:cs="仿宋"/>
                <w:sz w:val="24"/>
                <w:szCs w:val="24"/>
                <w:lang w:eastAsia="zh-CN"/>
              </w:rPr>
              <w:t>竞争性磋商</w:t>
            </w:r>
            <w:r>
              <w:rPr>
                <w:rFonts w:ascii="宋体" w:hAnsi="宋体" w:eastAsia="宋体" w:cs="仿宋"/>
                <w:sz w:val="24"/>
                <w:szCs w:val="24"/>
              </w:rPr>
              <w:t>文件质量；</w:t>
            </w:r>
          </w:p>
          <w:p w14:paraId="35989434">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w:t>
            </w:r>
            <w:r>
              <w:rPr>
                <w:rFonts w:hint="eastAsia" w:ascii="宋体" w:hAnsi="宋体" w:eastAsia="宋体" w:cs="仿宋"/>
                <w:sz w:val="24"/>
                <w:szCs w:val="24"/>
                <w:lang w:val="en-US" w:eastAsia="zh-CN"/>
              </w:rPr>
              <w:t>在专家库抽取专家，组织成立磋商小组</w:t>
            </w:r>
            <w:r>
              <w:rPr>
                <w:rFonts w:ascii="宋体" w:hAnsi="宋体" w:eastAsia="宋体" w:cs="仿宋"/>
                <w:sz w:val="24"/>
                <w:szCs w:val="24"/>
              </w:rPr>
              <w:t>；</w:t>
            </w:r>
          </w:p>
          <w:p w14:paraId="397A5E77">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w:t>
            </w:r>
            <w:r>
              <w:rPr>
                <w:rFonts w:hint="eastAsia" w:ascii="宋体" w:hAnsi="宋体" w:eastAsia="宋体" w:cs="仿宋"/>
                <w:sz w:val="24"/>
                <w:szCs w:val="24"/>
                <w:lang w:val="en-US" w:eastAsia="zh-CN"/>
              </w:rPr>
              <w:t>组织不少于三家的供应商参加磋商</w:t>
            </w:r>
            <w:r>
              <w:rPr>
                <w:rFonts w:ascii="宋体" w:hAnsi="宋体" w:eastAsia="宋体" w:cs="仿宋"/>
                <w:sz w:val="24"/>
                <w:szCs w:val="24"/>
              </w:rPr>
              <w:t>；</w:t>
            </w:r>
          </w:p>
          <w:p w14:paraId="2686D153">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w:t>
            </w:r>
            <w:r>
              <w:rPr>
                <w:rFonts w:hint="eastAsia" w:ascii="宋体" w:hAnsi="宋体" w:eastAsia="宋体" w:cs="仿宋"/>
                <w:sz w:val="24"/>
                <w:szCs w:val="24"/>
                <w:lang w:val="en-US" w:eastAsia="zh-CN"/>
              </w:rPr>
              <w:t>磋商</w:t>
            </w:r>
            <w:r>
              <w:rPr>
                <w:rFonts w:ascii="宋体" w:hAnsi="宋体" w:eastAsia="宋体" w:cs="仿宋"/>
                <w:sz w:val="24"/>
                <w:szCs w:val="24"/>
              </w:rPr>
              <w:t>；</w:t>
            </w:r>
          </w:p>
          <w:p w14:paraId="1D192BAE">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14:paraId="69AD7379">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w:t>
            </w:r>
            <w:r>
              <w:rPr>
                <w:rFonts w:hint="eastAsia" w:ascii="宋体" w:hAnsi="宋体" w:eastAsia="宋体" w:cs="仿宋"/>
                <w:sz w:val="24"/>
                <w:szCs w:val="24"/>
                <w:lang w:eastAsia="zh-CN"/>
              </w:rPr>
              <w:t>竞争性磋商</w:t>
            </w:r>
            <w:r>
              <w:rPr>
                <w:rFonts w:ascii="宋体" w:hAnsi="宋体" w:eastAsia="宋体" w:cs="仿宋"/>
                <w:sz w:val="24"/>
                <w:szCs w:val="24"/>
              </w:rPr>
              <w:t>过程资料；</w:t>
            </w:r>
          </w:p>
          <w:p w14:paraId="3E33CAD0">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w:t>
            </w:r>
            <w:r>
              <w:rPr>
                <w:rFonts w:hint="eastAsia" w:ascii="宋体" w:hAnsi="宋体" w:eastAsia="宋体" w:cs="仿宋"/>
                <w:sz w:val="24"/>
                <w:szCs w:val="24"/>
                <w:lang w:eastAsia="zh-CN"/>
              </w:rPr>
              <w:t>竞争性磋商</w:t>
            </w:r>
            <w:r>
              <w:rPr>
                <w:rFonts w:ascii="宋体" w:hAnsi="宋体" w:eastAsia="宋体" w:cs="仿宋"/>
                <w:sz w:val="24"/>
                <w:szCs w:val="24"/>
              </w:rPr>
              <w:t>过程中需要配合其他相关工作。</w:t>
            </w:r>
          </w:p>
          <w:p w14:paraId="63F86FF1">
            <w:pPr>
              <w:rPr>
                <w:rFonts w:hint="eastAsia"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14:paraId="02D4DE71">
        <w:tblPrEx>
          <w:tblCellMar>
            <w:top w:w="0" w:type="dxa"/>
            <w:left w:w="108" w:type="dxa"/>
            <w:bottom w:w="0" w:type="dxa"/>
            <w:right w:w="108" w:type="dxa"/>
          </w:tblCellMar>
        </w:tblPrEx>
        <w:trPr>
          <w:gridAfter w:val="1"/>
          <w:wAfter w:w="317" w:type="dxa"/>
          <w:trHeight w:val="664"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14:paraId="7C68EF47">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60B06F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6BBB130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14:paraId="7C33A6AD">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6636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14:paraId="5B52D33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137EA2AE">
            <w:pPr>
              <w:widowControl/>
              <w:jc w:val="left"/>
              <w:rPr>
                <w:rFonts w:hint="eastAsia" w:ascii="宋体" w:hAnsi="宋体" w:eastAsia="宋体" w:cs="宋体"/>
                <w:color w:val="000000"/>
                <w:kern w:val="0"/>
                <w:sz w:val="24"/>
                <w:szCs w:val="24"/>
              </w:rPr>
            </w:pPr>
            <w:r>
              <w:rPr>
                <w:rFonts w:ascii="宋体" w:hAnsi="宋体" w:eastAsia="宋体" w:cs="宋体"/>
                <w:color w:val="000000"/>
                <w:kern w:val="0"/>
                <w:sz w:val="24"/>
                <w:szCs w:val="24"/>
              </w:rPr>
              <w:t>本次</w:t>
            </w:r>
            <w:r>
              <w:rPr>
                <w:rFonts w:hint="eastAsia" w:ascii="宋体" w:hAnsi="宋体" w:eastAsia="宋体" w:cs="宋体"/>
                <w:color w:val="000000"/>
                <w:kern w:val="0"/>
                <w:sz w:val="24"/>
                <w:szCs w:val="24"/>
              </w:rPr>
              <w:t>代理服务费</w:t>
            </w:r>
            <w:r>
              <w:rPr>
                <w:rFonts w:ascii="宋体" w:hAnsi="宋体" w:eastAsia="宋体" w:cs="宋体"/>
                <w:color w:val="000000"/>
                <w:kern w:val="0"/>
                <w:sz w:val="24"/>
                <w:szCs w:val="24"/>
              </w:rPr>
              <w:t>上限价</w:t>
            </w:r>
            <w:r>
              <w:rPr>
                <w:rFonts w:hint="eastAsia" w:ascii="宋体" w:hAnsi="宋体" w:eastAsia="宋体" w:cs="宋体"/>
                <w:color w:val="000000"/>
                <w:kern w:val="0"/>
                <w:sz w:val="24"/>
                <w:szCs w:val="24"/>
                <w:lang w:val="en-US" w:eastAsia="zh-CN"/>
              </w:rPr>
              <w:t>3722.38</w:t>
            </w:r>
            <w:r>
              <w:rPr>
                <w:rFonts w:ascii="宋体" w:hAnsi="宋体" w:eastAsia="宋体" w:cs="宋体"/>
                <w:color w:val="000000"/>
                <w:kern w:val="0"/>
                <w:sz w:val="24"/>
                <w:szCs w:val="24"/>
              </w:rPr>
              <w:t>元，</w:t>
            </w:r>
            <w:r>
              <w:rPr>
                <w:rFonts w:hint="eastAsia" w:ascii="宋体" w:hAnsi="宋体" w:eastAsia="宋体" w:cs="宋体"/>
                <w:color w:val="000000"/>
                <w:kern w:val="0"/>
                <w:sz w:val="24"/>
                <w:szCs w:val="24"/>
              </w:rPr>
              <w:t>本项目以报下浮率的方式，报价人须综合考虑</w:t>
            </w:r>
            <w:r>
              <w:rPr>
                <w:rFonts w:hint="eastAsia" w:ascii="宋体" w:hAnsi="宋体" w:eastAsia="宋体" w:cs="宋体"/>
                <w:color w:val="000000"/>
                <w:kern w:val="0"/>
                <w:sz w:val="24"/>
                <w:szCs w:val="24"/>
                <w:lang w:val="en-US" w:eastAsia="zh-CN"/>
              </w:rPr>
              <w:t>专家评审费等</w:t>
            </w:r>
            <w:r>
              <w:rPr>
                <w:rFonts w:hint="eastAsia" w:ascii="宋体" w:hAnsi="宋体" w:eastAsia="宋体" w:cs="宋体"/>
                <w:color w:val="000000"/>
                <w:kern w:val="0"/>
                <w:sz w:val="24"/>
                <w:szCs w:val="24"/>
              </w:rPr>
              <w:t>各类费用。本函请于2025年</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7</w:t>
            </w:r>
            <w:bookmarkStart w:id="0" w:name="_GoBack"/>
            <w:bookmarkEnd w:id="0"/>
            <w:r>
              <w:rPr>
                <w:rFonts w:hint="eastAsia" w:ascii="宋体" w:hAnsi="宋体" w:eastAsia="宋体" w:cs="宋体"/>
                <w:color w:val="000000"/>
                <w:kern w:val="0"/>
                <w:sz w:val="24"/>
                <w:szCs w:val="24"/>
              </w:rPr>
              <w:t>日17点前送达邮箱，邮箱地址：323431302@qq.com。</w:t>
            </w:r>
          </w:p>
        </w:tc>
      </w:tr>
      <w:tr w14:paraId="28F16FB0">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648E4743">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4150BE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02AFCB10">
            <w:pPr>
              <w:widowControl/>
              <w:jc w:val="center"/>
              <w:rPr>
                <w:rFonts w:hint="eastAsia" w:ascii="宋体" w:hAnsi="宋体" w:eastAsia="宋体" w:cs="仿宋"/>
                <w:sz w:val="24"/>
                <w:szCs w:val="24"/>
              </w:rPr>
            </w:pPr>
            <w:r>
              <w:rPr>
                <w:rFonts w:hint="eastAsia" w:ascii="宋体" w:hAnsi="宋体" w:eastAsia="宋体" w:cs="仿宋"/>
                <w:sz w:val="24"/>
                <w:szCs w:val="24"/>
              </w:rPr>
              <w:t>G228国道滨海交警中队路段加装路灯项目</w:t>
            </w:r>
          </w:p>
          <w:p w14:paraId="0DD9E8E3">
            <w:pPr>
              <w:widowControl/>
              <w:jc w:val="center"/>
              <w:rPr>
                <w:rFonts w:hint="eastAsia" w:ascii="宋体" w:hAnsi="宋体" w:eastAsia="宋体" w:cs="宋体"/>
                <w:color w:val="000000"/>
                <w:kern w:val="0"/>
                <w:sz w:val="24"/>
                <w:szCs w:val="24"/>
              </w:rPr>
            </w:pPr>
            <w:r>
              <w:rPr>
                <w:rFonts w:hint="eastAsia" w:ascii="宋体" w:hAnsi="宋体" w:eastAsia="宋体" w:cs="仿宋"/>
                <w:sz w:val="24"/>
                <w:szCs w:val="24"/>
                <w:lang w:eastAsia="zh-CN"/>
              </w:rPr>
              <w:t>竞争性磋商</w:t>
            </w:r>
            <w:r>
              <w:rPr>
                <w:rFonts w:hint="eastAsia" w:ascii="宋体" w:hAnsi="宋体" w:eastAsia="宋体" w:cs="仿宋"/>
                <w:sz w:val="24"/>
                <w:szCs w:val="24"/>
              </w:rPr>
              <w:t>代理服务</w:t>
            </w:r>
          </w:p>
        </w:tc>
      </w:tr>
      <w:tr w14:paraId="5A78A365">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515680DD">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7E9A74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下浮率（%）</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06753B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14:paraId="576F7410">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45C47827">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7408F6EE">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单位名称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389706D5">
            <w:pPr>
              <w:widowControl/>
              <w:jc w:val="center"/>
              <w:rPr>
                <w:rFonts w:hint="eastAsia" w:ascii="宋体" w:hAnsi="宋体" w:eastAsia="宋体" w:cs="宋体"/>
                <w:color w:val="000000"/>
                <w:kern w:val="0"/>
                <w:sz w:val="24"/>
                <w:szCs w:val="24"/>
              </w:rPr>
            </w:pPr>
          </w:p>
        </w:tc>
      </w:tr>
      <w:tr w14:paraId="6C806AB1">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1C9DF133">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5529B2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3BC0BF8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自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月  日起，至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14:paraId="463B8A2E">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14:paraId="158A01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14:paraId="6A69BAB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14:paraId="752CBF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14:paraId="50AADF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11F4D12">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14:paraId="7530D0BD">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14:paraId="6CC4CE2E">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14:paraId="5526ADBA">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14:paraId="47E38B84">
            <w:pPr>
              <w:widowControl/>
              <w:jc w:val="left"/>
              <w:rPr>
                <w:rFonts w:ascii="Times New Roman" w:hAnsi="Times New Roman" w:cs="Times New Roman"/>
                <w:kern w:val="0"/>
                <w:sz w:val="24"/>
                <w:szCs w:val="24"/>
              </w:rPr>
            </w:pPr>
          </w:p>
        </w:tc>
        <w:tc>
          <w:tcPr>
            <w:tcW w:w="4681" w:type="dxa"/>
            <w:gridSpan w:val="2"/>
            <w:shd w:val="clear" w:color="auto" w:fill="auto"/>
            <w:vAlign w:val="center"/>
          </w:tcPr>
          <w:p w14:paraId="7F6C23B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14:paraId="72A2F85F">
            <w:pPr>
              <w:widowControl/>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14:paraId="488C88CA">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14:paraId="58DC8F6B">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14:paraId="2076DAA8">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14:paraId="0AAF3042">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14:paraId="616E597B">
            <w:pPr>
              <w:widowControl/>
              <w:jc w:val="left"/>
              <w:rPr>
                <w:rFonts w:ascii="Times New Roman" w:hAnsi="Times New Roman" w:cs="Times New Roman"/>
                <w:kern w:val="0"/>
                <w:sz w:val="24"/>
                <w:szCs w:val="24"/>
              </w:rPr>
            </w:pPr>
          </w:p>
          <w:p w14:paraId="78339319">
            <w:pPr>
              <w:widowControl/>
              <w:jc w:val="left"/>
              <w:rPr>
                <w:rFonts w:ascii="Times New Roman" w:hAnsi="Times New Roman" w:cs="Times New Roman"/>
                <w:kern w:val="0"/>
                <w:sz w:val="24"/>
                <w:szCs w:val="24"/>
              </w:rPr>
            </w:pPr>
          </w:p>
          <w:p w14:paraId="7DDB038D">
            <w:pPr>
              <w:widowControl/>
              <w:jc w:val="left"/>
              <w:rPr>
                <w:rFonts w:ascii="Times New Roman" w:hAnsi="Times New Roman" w:cs="Times New Roman"/>
                <w:kern w:val="0"/>
                <w:sz w:val="24"/>
                <w:szCs w:val="24"/>
              </w:rPr>
            </w:pPr>
          </w:p>
        </w:tc>
        <w:tc>
          <w:tcPr>
            <w:tcW w:w="4681" w:type="dxa"/>
            <w:gridSpan w:val="2"/>
            <w:shd w:val="clear" w:color="auto" w:fill="auto"/>
            <w:vAlign w:val="center"/>
          </w:tcPr>
          <w:p w14:paraId="56244589">
            <w:pPr>
              <w:widowControl/>
              <w:ind w:firstLine="1920" w:firstLineChars="8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14:paraId="52687610">
      <w:pPr>
        <w:widowControl/>
        <w:jc w:val="left"/>
        <w:rPr>
          <w:rFonts w:hint="eastAsia" w:ascii="仿宋_GB2312" w:eastAsia="仿宋_GB2312"/>
          <w:sz w:val="32"/>
          <w:szCs w:val="32"/>
        </w:rPr>
      </w:pPr>
      <w:r>
        <w:rPr>
          <w:rFonts w:hint="eastAsia" w:ascii="仿宋_GB2312" w:eastAsia="仿宋_GB2312"/>
          <w:sz w:val="32"/>
          <w:szCs w:val="32"/>
        </w:rPr>
        <w:t>附件2：综合评分表</w:t>
      </w:r>
    </w:p>
    <w:tbl>
      <w:tblPr>
        <w:tblStyle w:val="5"/>
        <w:tblW w:w="8382" w:type="dxa"/>
        <w:tblInd w:w="0" w:type="dxa"/>
        <w:tblLayout w:type="autofit"/>
        <w:tblCellMar>
          <w:top w:w="0" w:type="dxa"/>
          <w:left w:w="108" w:type="dxa"/>
          <w:bottom w:w="0" w:type="dxa"/>
          <w:right w:w="108" w:type="dxa"/>
        </w:tblCellMar>
      </w:tblPr>
      <w:tblGrid>
        <w:gridCol w:w="512"/>
        <w:gridCol w:w="1068"/>
        <w:gridCol w:w="831"/>
        <w:gridCol w:w="825"/>
        <w:gridCol w:w="4924"/>
        <w:gridCol w:w="222"/>
      </w:tblGrid>
      <w:tr w14:paraId="65901CB3">
        <w:tblPrEx>
          <w:tblCellMar>
            <w:top w:w="0" w:type="dxa"/>
            <w:left w:w="108" w:type="dxa"/>
            <w:bottom w:w="0" w:type="dxa"/>
            <w:right w:w="108" w:type="dxa"/>
          </w:tblCellMar>
        </w:tblPrEx>
        <w:trPr>
          <w:gridAfter w:val="1"/>
          <w:wAfter w:w="222" w:type="dxa"/>
          <w:trHeight w:val="1521" w:hRule="atLeast"/>
        </w:trPr>
        <w:tc>
          <w:tcPr>
            <w:tcW w:w="81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C65B9A6">
            <w:pPr>
              <w:jc w:val="center"/>
              <w:rPr>
                <w:rFonts w:hint="eastAsia" w:ascii="仿宋" w:hAnsi="仿宋" w:eastAsia="仿宋" w:cs="宋体"/>
                <w:b/>
                <w:bCs/>
                <w:color w:val="000000"/>
                <w:kern w:val="0"/>
                <w:sz w:val="36"/>
                <w:szCs w:val="36"/>
              </w:rPr>
            </w:pPr>
            <w:r>
              <w:rPr>
                <w:rFonts w:hint="eastAsia" w:ascii="仿宋" w:hAnsi="仿宋" w:eastAsia="仿宋" w:cs="宋体"/>
                <w:b/>
                <w:bCs/>
                <w:color w:val="000000"/>
                <w:kern w:val="0"/>
                <w:sz w:val="36"/>
                <w:szCs w:val="36"/>
              </w:rPr>
              <w:t>《G228国道滨海交警中队路段加装路灯项目》</w:t>
            </w:r>
            <w:r>
              <w:rPr>
                <w:rFonts w:hint="eastAsia" w:ascii="仿宋" w:hAnsi="仿宋" w:eastAsia="仿宋" w:cs="宋体"/>
                <w:b/>
                <w:bCs/>
                <w:color w:val="000000"/>
                <w:kern w:val="0"/>
                <w:sz w:val="36"/>
                <w:szCs w:val="36"/>
              </w:rPr>
              <w:br w:type="textWrapping"/>
            </w:r>
            <w:r>
              <w:rPr>
                <w:rFonts w:hint="eastAsia" w:ascii="仿宋" w:hAnsi="仿宋" w:eastAsia="仿宋" w:cs="宋体"/>
                <w:b/>
                <w:bCs/>
                <w:color w:val="000000"/>
                <w:kern w:val="0"/>
                <w:sz w:val="36"/>
                <w:szCs w:val="36"/>
                <w:lang w:eastAsia="zh-CN"/>
              </w:rPr>
              <w:t>竞争性磋商</w:t>
            </w:r>
            <w:r>
              <w:rPr>
                <w:rFonts w:hint="eastAsia" w:ascii="仿宋" w:hAnsi="仿宋" w:eastAsia="仿宋" w:cs="宋体"/>
                <w:b/>
                <w:bCs/>
                <w:color w:val="000000"/>
                <w:kern w:val="0"/>
                <w:sz w:val="36"/>
                <w:szCs w:val="36"/>
              </w:rPr>
              <w:t>代理机构遴选综合评分表</w:t>
            </w:r>
          </w:p>
        </w:tc>
      </w:tr>
      <w:tr w14:paraId="5D1713AC">
        <w:tblPrEx>
          <w:tblCellMar>
            <w:top w:w="0" w:type="dxa"/>
            <w:left w:w="108" w:type="dxa"/>
            <w:bottom w:w="0" w:type="dxa"/>
            <w:right w:w="108" w:type="dxa"/>
          </w:tblCellMar>
        </w:tblPrEx>
        <w:trPr>
          <w:gridAfter w:val="1"/>
          <w:wAfter w:w="222" w:type="dxa"/>
          <w:trHeight w:val="741" w:hRule="atLeast"/>
        </w:trPr>
        <w:tc>
          <w:tcPr>
            <w:tcW w:w="512" w:type="dxa"/>
            <w:vMerge w:val="restart"/>
            <w:tcBorders>
              <w:top w:val="nil"/>
              <w:left w:val="single" w:color="auto" w:sz="4" w:space="0"/>
              <w:bottom w:val="single" w:color="auto" w:sz="4" w:space="0"/>
              <w:right w:val="single" w:color="auto" w:sz="4" w:space="0"/>
            </w:tcBorders>
            <w:shd w:val="clear" w:color="auto" w:fill="auto"/>
            <w:noWrap/>
            <w:vAlign w:val="center"/>
          </w:tcPr>
          <w:p w14:paraId="64A9E18E">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1068" w:type="dxa"/>
            <w:vMerge w:val="restart"/>
            <w:tcBorders>
              <w:top w:val="nil"/>
              <w:left w:val="single" w:color="auto" w:sz="4" w:space="0"/>
              <w:bottom w:val="single" w:color="auto" w:sz="4" w:space="0"/>
              <w:right w:val="single" w:color="auto" w:sz="4" w:space="0"/>
            </w:tcBorders>
            <w:shd w:val="clear" w:color="auto" w:fill="auto"/>
            <w:vAlign w:val="center"/>
          </w:tcPr>
          <w:p w14:paraId="643EFF51">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评审</w:t>
            </w:r>
            <w:r>
              <w:rPr>
                <w:rFonts w:hint="eastAsia" w:ascii="仿宋" w:hAnsi="仿宋" w:eastAsia="仿宋" w:cs="宋体"/>
                <w:b/>
                <w:bCs/>
                <w:color w:val="000000"/>
                <w:kern w:val="0"/>
                <w:sz w:val="24"/>
                <w:szCs w:val="24"/>
              </w:rPr>
              <w:br w:type="textWrapping"/>
            </w:r>
            <w:r>
              <w:rPr>
                <w:rFonts w:hint="eastAsia" w:ascii="仿宋" w:hAnsi="仿宋" w:eastAsia="仿宋" w:cs="宋体"/>
                <w:b/>
                <w:bCs/>
                <w:color w:val="000000"/>
                <w:kern w:val="0"/>
                <w:sz w:val="24"/>
                <w:szCs w:val="24"/>
              </w:rPr>
              <w:t>分类</w:t>
            </w:r>
          </w:p>
        </w:tc>
        <w:tc>
          <w:tcPr>
            <w:tcW w:w="831" w:type="dxa"/>
            <w:vMerge w:val="restart"/>
            <w:tcBorders>
              <w:top w:val="nil"/>
              <w:left w:val="single" w:color="auto" w:sz="4" w:space="0"/>
              <w:bottom w:val="single" w:color="auto" w:sz="4" w:space="0"/>
              <w:right w:val="single" w:color="auto" w:sz="4" w:space="0"/>
            </w:tcBorders>
            <w:shd w:val="clear" w:color="auto" w:fill="auto"/>
            <w:vAlign w:val="center"/>
          </w:tcPr>
          <w:p w14:paraId="5FD5B47E">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评审项目</w:t>
            </w:r>
          </w:p>
        </w:tc>
        <w:tc>
          <w:tcPr>
            <w:tcW w:w="825" w:type="dxa"/>
            <w:vMerge w:val="restart"/>
            <w:tcBorders>
              <w:top w:val="nil"/>
              <w:left w:val="single" w:color="auto" w:sz="4" w:space="0"/>
              <w:bottom w:val="single" w:color="auto" w:sz="4" w:space="0"/>
              <w:right w:val="single" w:color="auto" w:sz="4" w:space="0"/>
            </w:tcBorders>
            <w:shd w:val="clear" w:color="auto" w:fill="auto"/>
            <w:noWrap/>
            <w:vAlign w:val="center"/>
          </w:tcPr>
          <w:p w14:paraId="247A3F76">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分值</w:t>
            </w:r>
          </w:p>
        </w:tc>
        <w:tc>
          <w:tcPr>
            <w:tcW w:w="4924" w:type="dxa"/>
            <w:vMerge w:val="restart"/>
            <w:tcBorders>
              <w:top w:val="nil"/>
              <w:left w:val="single" w:color="auto" w:sz="4" w:space="0"/>
              <w:bottom w:val="single" w:color="auto" w:sz="4" w:space="0"/>
              <w:right w:val="single" w:color="auto" w:sz="4" w:space="0"/>
            </w:tcBorders>
            <w:shd w:val="clear" w:color="auto" w:fill="auto"/>
            <w:vAlign w:val="center"/>
          </w:tcPr>
          <w:p w14:paraId="00E144BF">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评分标准</w:t>
            </w:r>
          </w:p>
        </w:tc>
      </w:tr>
      <w:tr w14:paraId="54086F12">
        <w:tblPrEx>
          <w:tblCellMar>
            <w:top w:w="0" w:type="dxa"/>
            <w:left w:w="108" w:type="dxa"/>
            <w:bottom w:w="0" w:type="dxa"/>
            <w:right w:w="108" w:type="dxa"/>
          </w:tblCellMar>
        </w:tblPrEx>
        <w:trPr>
          <w:trHeight w:val="109" w:hRule="atLeast"/>
        </w:trPr>
        <w:tc>
          <w:tcPr>
            <w:tcW w:w="512" w:type="dxa"/>
            <w:vMerge w:val="continue"/>
            <w:tcBorders>
              <w:top w:val="nil"/>
              <w:left w:val="single" w:color="auto" w:sz="4" w:space="0"/>
              <w:bottom w:val="single" w:color="auto" w:sz="4" w:space="0"/>
              <w:right w:val="single" w:color="auto" w:sz="4" w:space="0"/>
            </w:tcBorders>
            <w:vAlign w:val="center"/>
          </w:tcPr>
          <w:p w14:paraId="595AA7D8">
            <w:pPr>
              <w:widowControl/>
              <w:jc w:val="left"/>
              <w:rPr>
                <w:rFonts w:ascii="仿宋" w:hAnsi="仿宋" w:eastAsia="仿宋" w:cs="宋体"/>
                <w:b/>
                <w:bCs/>
                <w:color w:val="000000"/>
                <w:kern w:val="0"/>
                <w:sz w:val="24"/>
                <w:szCs w:val="24"/>
              </w:rPr>
            </w:pPr>
          </w:p>
        </w:tc>
        <w:tc>
          <w:tcPr>
            <w:tcW w:w="1068" w:type="dxa"/>
            <w:vMerge w:val="continue"/>
            <w:tcBorders>
              <w:top w:val="nil"/>
              <w:left w:val="single" w:color="auto" w:sz="4" w:space="0"/>
              <w:bottom w:val="single" w:color="auto" w:sz="4" w:space="0"/>
              <w:right w:val="single" w:color="auto" w:sz="4" w:space="0"/>
            </w:tcBorders>
            <w:vAlign w:val="center"/>
          </w:tcPr>
          <w:p w14:paraId="05E5E02A">
            <w:pPr>
              <w:widowControl/>
              <w:jc w:val="left"/>
              <w:rPr>
                <w:rFonts w:ascii="仿宋" w:hAnsi="仿宋" w:eastAsia="仿宋" w:cs="宋体"/>
                <w:b/>
                <w:bCs/>
                <w:color w:val="000000"/>
                <w:kern w:val="0"/>
                <w:sz w:val="24"/>
                <w:szCs w:val="24"/>
              </w:rPr>
            </w:pPr>
          </w:p>
        </w:tc>
        <w:tc>
          <w:tcPr>
            <w:tcW w:w="831" w:type="dxa"/>
            <w:vMerge w:val="continue"/>
            <w:tcBorders>
              <w:top w:val="nil"/>
              <w:left w:val="single" w:color="auto" w:sz="4" w:space="0"/>
              <w:bottom w:val="single" w:color="auto" w:sz="4" w:space="0"/>
              <w:right w:val="single" w:color="auto" w:sz="4" w:space="0"/>
            </w:tcBorders>
            <w:vAlign w:val="center"/>
          </w:tcPr>
          <w:p w14:paraId="5ED564CD">
            <w:pPr>
              <w:widowControl/>
              <w:jc w:val="left"/>
              <w:rPr>
                <w:rFonts w:ascii="仿宋" w:hAnsi="仿宋" w:eastAsia="仿宋" w:cs="宋体"/>
                <w:b/>
                <w:bCs/>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14:paraId="3B88F97E">
            <w:pPr>
              <w:widowControl/>
              <w:jc w:val="left"/>
              <w:rPr>
                <w:rFonts w:ascii="仿宋" w:hAnsi="仿宋" w:eastAsia="仿宋" w:cs="宋体"/>
                <w:b/>
                <w:bCs/>
                <w:color w:val="000000"/>
                <w:kern w:val="0"/>
                <w:sz w:val="24"/>
                <w:szCs w:val="24"/>
              </w:rPr>
            </w:pPr>
          </w:p>
        </w:tc>
        <w:tc>
          <w:tcPr>
            <w:tcW w:w="4924" w:type="dxa"/>
            <w:vMerge w:val="continue"/>
            <w:tcBorders>
              <w:top w:val="nil"/>
              <w:left w:val="single" w:color="auto" w:sz="4" w:space="0"/>
              <w:bottom w:val="single" w:color="auto" w:sz="4" w:space="0"/>
              <w:right w:val="single" w:color="auto" w:sz="4" w:space="0"/>
            </w:tcBorders>
            <w:vAlign w:val="center"/>
          </w:tcPr>
          <w:p w14:paraId="10D83BA1">
            <w:pPr>
              <w:widowControl/>
              <w:jc w:val="left"/>
              <w:rPr>
                <w:rFonts w:ascii="仿宋" w:hAnsi="仿宋" w:eastAsia="仿宋" w:cs="宋体"/>
                <w:b/>
                <w:bCs/>
                <w:color w:val="000000"/>
                <w:kern w:val="0"/>
                <w:sz w:val="24"/>
                <w:szCs w:val="24"/>
              </w:rPr>
            </w:pPr>
          </w:p>
        </w:tc>
        <w:tc>
          <w:tcPr>
            <w:tcW w:w="222" w:type="dxa"/>
            <w:tcBorders>
              <w:top w:val="nil"/>
              <w:left w:val="nil"/>
              <w:bottom w:val="nil"/>
              <w:right w:val="nil"/>
            </w:tcBorders>
            <w:shd w:val="clear" w:color="auto" w:fill="auto"/>
            <w:noWrap/>
            <w:vAlign w:val="bottom"/>
          </w:tcPr>
          <w:p w14:paraId="527455B2">
            <w:pPr>
              <w:widowControl/>
              <w:jc w:val="center"/>
              <w:rPr>
                <w:rFonts w:hint="eastAsia" w:ascii="仿宋" w:hAnsi="仿宋" w:eastAsia="仿宋" w:cs="宋体"/>
                <w:b/>
                <w:bCs/>
                <w:color w:val="000000"/>
                <w:kern w:val="0"/>
                <w:sz w:val="24"/>
                <w:szCs w:val="24"/>
              </w:rPr>
            </w:pPr>
          </w:p>
        </w:tc>
      </w:tr>
      <w:tr w14:paraId="5D40CA38">
        <w:tblPrEx>
          <w:tblCellMar>
            <w:top w:w="0" w:type="dxa"/>
            <w:left w:w="108" w:type="dxa"/>
            <w:bottom w:w="0" w:type="dxa"/>
            <w:right w:w="108" w:type="dxa"/>
          </w:tblCellMar>
        </w:tblPrEx>
        <w:trPr>
          <w:trHeight w:val="1560"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14:paraId="6299E47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068" w:type="dxa"/>
            <w:vMerge w:val="restart"/>
            <w:tcBorders>
              <w:top w:val="nil"/>
              <w:left w:val="single" w:color="auto" w:sz="4" w:space="0"/>
              <w:bottom w:val="single" w:color="auto" w:sz="4" w:space="0"/>
              <w:right w:val="single" w:color="auto" w:sz="4" w:space="0"/>
            </w:tcBorders>
            <w:shd w:val="clear" w:color="auto" w:fill="auto"/>
            <w:vAlign w:val="center"/>
          </w:tcPr>
          <w:p w14:paraId="44DED51E">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商务部分（40分）</w:t>
            </w:r>
          </w:p>
        </w:tc>
        <w:tc>
          <w:tcPr>
            <w:tcW w:w="831" w:type="dxa"/>
            <w:tcBorders>
              <w:top w:val="nil"/>
              <w:left w:val="nil"/>
              <w:bottom w:val="single" w:color="auto" w:sz="4" w:space="0"/>
              <w:right w:val="single" w:color="auto" w:sz="4" w:space="0"/>
            </w:tcBorders>
            <w:shd w:val="clear" w:color="auto" w:fill="auto"/>
            <w:vAlign w:val="center"/>
          </w:tcPr>
          <w:p w14:paraId="33A2AD9A">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企业业绩</w:t>
            </w:r>
          </w:p>
        </w:tc>
        <w:tc>
          <w:tcPr>
            <w:tcW w:w="825" w:type="dxa"/>
            <w:tcBorders>
              <w:top w:val="nil"/>
              <w:left w:val="nil"/>
              <w:bottom w:val="single" w:color="auto" w:sz="4" w:space="0"/>
              <w:right w:val="single" w:color="auto" w:sz="4" w:space="0"/>
            </w:tcBorders>
            <w:shd w:val="clear" w:color="auto" w:fill="auto"/>
            <w:noWrap/>
            <w:vAlign w:val="center"/>
          </w:tcPr>
          <w:p w14:paraId="02EAAE4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15</w:t>
            </w:r>
          </w:p>
        </w:tc>
        <w:tc>
          <w:tcPr>
            <w:tcW w:w="4924" w:type="dxa"/>
            <w:tcBorders>
              <w:top w:val="nil"/>
              <w:left w:val="nil"/>
              <w:bottom w:val="single" w:color="auto" w:sz="4" w:space="0"/>
              <w:right w:val="single" w:color="auto" w:sz="4" w:space="0"/>
            </w:tcBorders>
            <w:shd w:val="clear" w:color="auto" w:fill="auto"/>
            <w:vAlign w:val="center"/>
          </w:tcPr>
          <w:p w14:paraId="002CE8FC">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自2022年1月1日起，独立完成的服务类</w:t>
            </w:r>
            <w:r>
              <w:rPr>
                <w:rFonts w:hint="eastAsia" w:ascii="仿宋" w:hAnsi="仿宋" w:eastAsia="仿宋" w:cs="宋体"/>
                <w:color w:val="000000"/>
                <w:kern w:val="0"/>
                <w:sz w:val="24"/>
                <w:szCs w:val="24"/>
                <w:lang w:eastAsia="zh-CN"/>
              </w:rPr>
              <w:t>竞争性磋商</w:t>
            </w:r>
            <w:r>
              <w:rPr>
                <w:rFonts w:hint="eastAsia" w:ascii="仿宋" w:hAnsi="仿宋" w:eastAsia="仿宋" w:cs="宋体"/>
                <w:color w:val="000000"/>
                <w:kern w:val="0"/>
                <w:sz w:val="24"/>
                <w:szCs w:val="24"/>
              </w:rPr>
              <w:t>代理业务的，每提供一项得5分，最高得15分。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（提供服务类</w:t>
            </w:r>
            <w:r>
              <w:rPr>
                <w:rFonts w:hint="eastAsia" w:ascii="仿宋" w:hAnsi="仿宋" w:eastAsia="仿宋" w:cs="宋体"/>
                <w:color w:val="000000"/>
                <w:kern w:val="0"/>
                <w:sz w:val="24"/>
                <w:szCs w:val="24"/>
                <w:lang w:eastAsia="zh-CN"/>
              </w:rPr>
              <w:t>竞争性磋商</w:t>
            </w:r>
            <w:r>
              <w:rPr>
                <w:rFonts w:hint="eastAsia" w:ascii="仿宋" w:hAnsi="仿宋" w:eastAsia="仿宋" w:cs="宋体"/>
                <w:color w:val="000000"/>
                <w:kern w:val="0"/>
                <w:sz w:val="24"/>
                <w:szCs w:val="24"/>
              </w:rPr>
              <w:t>公告截图，不提供不得分）</w:t>
            </w:r>
          </w:p>
        </w:tc>
        <w:tc>
          <w:tcPr>
            <w:tcW w:w="222" w:type="dxa"/>
            <w:vAlign w:val="center"/>
          </w:tcPr>
          <w:p w14:paraId="55F2C372">
            <w:pPr>
              <w:widowControl/>
              <w:jc w:val="left"/>
              <w:rPr>
                <w:rFonts w:ascii="Times New Roman" w:hAnsi="Times New Roman" w:eastAsia="Times New Roman" w:cs="Times New Roman"/>
                <w:kern w:val="0"/>
                <w:sz w:val="20"/>
                <w:szCs w:val="20"/>
              </w:rPr>
            </w:pPr>
          </w:p>
        </w:tc>
      </w:tr>
      <w:tr w14:paraId="13161C11">
        <w:tblPrEx>
          <w:tblCellMar>
            <w:top w:w="0" w:type="dxa"/>
            <w:left w:w="108" w:type="dxa"/>
            <w:bottom w:w="0" w:type="dxa"/>
            <w:right w:w="108" w:type="dxa"/>
          </w:tblCellMar>
        </w:tblPrEx>
        <w:trPr>
          <w:trHeight w:val="1248"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14:paraId="199A9FD0">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068" w:type="dxa"/>
            <w:vMerge w:val="continue"/>
            <w:tcBorders>
              <w:top w:val="nil"/>
              <w:left w:val="single" w:color="auto" w:sz="4" w:space="0"/>
              <w:bottom w:val="single" w:color="auto" w:sz="4" w:space="0"/>
              <w:right w:val="single" w:color="auto" w:sz="4" w:space="0"/>
            </w:tcBorders>
            <w:vAlign w:val="center"/>
          </w:tcPr>
          <w:p w14:paraId="5BF19D64">
            <w:pPr>
              <w:widowControl/>
              <w:jc w:val="left"/>
              <w:rPr>
                <w:rFonts w:ascii="仿宋" w:hAnsi="仿宋" w:eastAsia="仿宋" w:cs="宋体"/>
                <w:color w:val="000000"/>
                <w:kern w:val="0"/>
                <w:sz w:val="24"/>
                <w:szCs w:val="24"/>
              </w:rPr>
            </w:pPr>
          </w:p>
        </w:tc>
        <w:tc>
          <w:tcPr>
            <w:tcW w:w="831" w:type="dxa"/>
            <w:tcBorders>
              <w:top w:val="nil"/>
              <w:left w:val="nil"/>
              <w:bottom w:val="single" w:color="auto" w:sz="4" w:space="0"/>
              <w:right w:val="single" w:color="auto" w:sz="4" w:space="0"/>
            </w:tcBorders>
            <w:shd w:val="clear" w:color="auto" w:fill="auto"/>
            <w:vAlign w:val="center"/>
          </w:tcPr>
          <w:p w14:paraId="5F2FF352">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企业认证</w:t>
            </w:r>
          </w:p>
        </w:tc>
        <w:tc>
          <w:tcPr>
            <w:tcW w:w="825" w:type="dxa"/>
            <w:tcBorders>
              <w:top w:val="nil"/>
              <w:left w:val="nil"/>
              <w:bottom w:val="single" w:color="auto" w:sz="4" w:space="0"/>
              <w:right w:val="single" w:color="auto" w:sz="4" w:space="0"/>
            </w:tcBorders>
            <w:shd w:val="clear" w:color="auto" w:fill="auto"/>
            <w:noWrap/>
            <w:vAlign w:val="center"/>
          </w:tcPr>
          <w:p w14:paraId="4D968381">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4924" w:type="dxa"/>
            <w:tcBorders>
              <w:top w:val="nil"/>
              <w:left w:val="nil"/>
              <w:bottom w:val="single" w:color="auto" w:sz="4" w:space="0"/>
              <w:right w:val="single" w:color="auto" w:sz="4" w:space="0"/>
            </w:tcBorders>
            <w:shd w:val="clear" w:color="auto" w:fill="auto"/>
            <w:vAlign w:val="center"/>
          </w:tcPr>
          <w:p w14:paraId="223FC93A">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投标人具有有效的质量管理体系认证证书、环境管理体系认证证书、职业健康安全管理体系认证证书，每项得2分，最高得6分。</w:t>
            </w:r>
          </w:p>
        </w:tc>
        <w:tc>
          <w:tcPr>
            <w:tcW w:w="222" w:type="dxa"/>
            <w:vAlign w:val="center"/>
          </w:tcPr>
          <w:p w14:paraId="041775FD">
            <w:pPr>
              <w:widowControl/>
              <w:jc w:val="left"/>
              <w:rPr>
                <w:rFonts w:ascii="Times New Roman" w:hAnsi="Times New Roman" w:eastAsia="Times New Roman" w:cs="Times New Roman"/>
                <w:kern w:val="0"/>
                <w:sz w:val="20"/>
                <w:szCs w:val="20"/>
              </w:rPr>
            </w:pPr>
          </w:p>
        </w:tc>
      </w:tr>
      <w:tr w14:paraId="33BB47E9">
        <w:tblPrEx>
          <w:tblCellMar>
            <w:top w:w="0" w:type="dxa"/>
            <w:left w:w="108" w:type="dxa"/>
            <w:bottom w:w="0" w:type="dxa"/>
            <w:right w:w="108" w:type="dxa"/>
          </w:tblCellMar>
        </w:tblPrEx>
        <w:trPr>
          <w:trHeight w:val="1248"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14:paraId="523F71A5">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068" w:type="dxa"/>
            <w:vMerge w:val="continue"/>
            <w:tcBorders>
              <w:top w:val="nil"/>
              <w:left w:val="single" w:color="auto" w:sz="4" w:space="0"/>
              <w:bottom w:val="single" w:color="auto" w:sz="4" w:space="0"/>
              <w:right w:val="single" w:color="auto" w:sz="4" w:space="0"/>
            </w:tcBorders>
            <w:vAlign w:val="center"/>
          </w:tcPr>
          <w:p w14:paraId="66F7ACFE">
            <w:pPr>
              <w:widowControl/>
              <w:jc w:val="left"/>
              <w:rPr>
                <w:rFonts w:ascii="仿宋" w:hAnsi="仿宋" w:eastAsia="仿宋" w:cs="宋体"/>
                <w:color w:val="000000"/>
                <w:kern w:val="0"/>
                <w:sz w:val="24"/>
                <w:szCs w:val="24"/>
              </w:rPr>
            </w:pPr>
          </w:p>
        </w:tc>
        <w:tc>
          <w:tcPr>
            <w:tcW w:w="831" w:type="dxa"/>
            <w:tcBorders>
              <w:top w:val="nil"/>
              <w:left w:val="nil"/>
              <w:bottom w:val="single" w:color="auto" w:sz="4" w:space="0"/>
              <w:right w:val="single" w:color="auto" w:sz="4" w:space="0"/>
            </w:tcBorders>
            <w:shd w:val="clear" w:color="auto" w:fill="auto"/>
            <w:vAlign w:val="center"/>
          </w:tcPr>
          <w:p w14:paraId="46B4753F">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团队实力</w:t>
            </w:r>
          </w:p>
        </w:tc>
        <w:tc>
          <w:tcPr>
            <w:tcW w:w="825" w:type="dxa"/>
            <w:tcBorders>
              <w:top w:val="nil"/>
              <w:left w:val="nil"/>
              <w:bottom w:val="single" w:color="auto" w:sz="4" w:space="0"/>
              <w:right w:val="single" w:color="auto" w:sz="4" w:space="0"/>
            </w:tcBorders>
            <w:shd w:val="clear" w:color="auto" w:fill="auto"/>
            <w:noWrap/>
            <w:vAlign w:val="center"/>
          </w:tcPr>
          <w:p w14:paraId="1402DE16">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9</w:t>
            </w:r>
          </w:p>
        </w:tc>
        <w:tc>
          <w:tcPr>
            <w:tcW w:w="4924" w:type="dxa"/>
            <w:tcBorders>
              <w:top w:val="nil"/>
              <w:left w:val="nil"/>
              <w:bottom w:val="single" w:color="auto" w:sz="4" w:space="0"/>
              <w:right w:val="single" w:color="auto" w:sz="4" w:space="0"/>
            </w:tcBorders>
            <w:shd w:val="clear" w:color="auto" w:fill="auto"/>
            <w:vAlign w:val="center"/>
          </w:tcPr>
          <w:p w14:paraId="4D0EB08F">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拟派项目组人员具有中级或以上职称的，每人得3分，最高得9分。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（提供职称证书复印件，不提供不得分）</w:t>
            </w:r>
          </w:p>
        </w:tc>
        <w:tc>
          <w:tcPr>
            <w:tcW w:w="222" w:type="dxa"/>
            <w:vAlign w:val="center"/>
          </w:tcPr>
          <w:p w14:paraId="47982B20">
            <w:pPr>
              <w:widowControl/>
              <w:jc w:val="left"/>
              <w:rPr>
                <w:rFonts w:ascii="Times New Roman" w:hAnsi="Times New Roman" w:eastAsia="Times New Roman" w:cs="Times New Roman"/>
                <w:kern w:val="0"/>
                <w:sz w:val="20"/>
                <w:szCs w:val="20"/>
              </w:rPr>
            </w:pPr>
          </w:p>
        </w:tc>
      </w:tr>
      <w:tr w14:paraId="3057370A">
        <w:tblPrEx>
          <w:tblCellMar>
            <w:top w:w="0" w:type="dxa"/>
            <w:left w:w="108" w:type="dxa"/>
            <w:bottom w:w="0" w:type="dxa"/>
            <w:right w:w="108" w:type="dxa"/>
          </w:tblCellMar>
        </w:tblPrEx>
        <w:trPr>
          <w:trHeight w:val="2184"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14:paraId="32C294F4">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068" w:type="dxa"/>
            <w:vMerge w:val="continue"/>
            <w:tcBorders>
              <w:top w:val="nil"/>
              <w:left w:val="single" w:color="auto" w:sz="4" w:space="0"/>
              <w:bottom w:val="single" w:color="auto" w:sz="4" w:space="0"/>
              <w:right w:val="single" w:color="auto" w:sz="4" w:space="0"/>
            </w:tcBorders>
            <w:vAlign w:val="center"/>
          </w:tcPr>
          <w:p w14:paraId="6DD93047">
            <w:pPr>
              <w:widowControl/>
              <w:jc w:val="left"/>
              <w:rPr>
                <w:rFonts w:ascii="仿宋" w:hAnsi="仿宋" w:eastAsia="仿宋" w:cs="宋体"/>
                <w:color w:val="000000"/>
                <w:kern w:val="0"/>
                <w:sz w:val="24"/>
                <w:szCs w:val="24"/>
              </w:rPr>
            </w:pPr>
          </w:p>
        </w:tc>
        <w:tc>
          <w:tcPr>
            <w:tcW w:w="831" w:type="dxa"/>
            <w:tcBorders>
              <w:top w:val="nil"/>
              <w:left w:val="nil"/>
              <w:bottom w:val="single" w:color="auto" w:sz="4" w:space="0"/>
              <w:right w:val="single" w:color="auto" w:sz="4" w:space="0"/>
            </w:tcBorders>
            <w:shd w:val="clear" w:color="auto" w:fill="auto"/>
            <w:vAlign w:val="center"/>
          </w:tcPr>
          <w:p w14:paraId="401DF340">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服务便利性</w:t>
            </w:r>
          </w:p>
        </w:tc>
        <w:tc>
          <w:tcPr>
            <w:tcW w:w="825" w:type="dxa"/>
            <w:tcBorders>
              <w:top w:val="nil"/>
              <w:left w:val="nil"/>
              <w:bottom w:val="single" w:color="auto" w:sz="4" w:space="0"/>
              <w:right w:val="single" w:color="auto" w:sz="4" w:space="0"/>
            </w:tcBorders>
            <w:shd w:val="clear" w:color="auto" w:fill="auto"/>
            <w:noWrap/>
            <w:vAlign w:val="center"/>
          </w:tcPr>
          <w:p w14:paraId="5809C7F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10</w:t>
            </w:r>
          </w:p>
        </w:tc>
        <w:tc>
          <w:tcPr>
            <w:tcW w:w="4924" w:type="dxa"/>
            <w:tcBorders>
              <w:top w:val="nil"/>
              <w:left w:val="nil"/>
              <w:bottom w:val="single" w:color="auto" w:sz="4" w:space="0"/>
              <w:right w:val="single" w:color="auto" w:sz="4" w:space="0"/>
            </w:tcBorders>
            <w:shd w:val="clear" w:color="auto" w:fill="auto"/>
            <w:vAlign w:val="center"/>
          </w:tcPr>
          <w:p w14:paraId="0A49809D">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投标人在茂名市区域内注册或设有分支机构的，且办公场地200平方米及以上的得10分，办公场地100平方米-200平方米（不含）的的5分。办公场地不到100平方米的不得分。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（注：提供产权证明（或租赁合同）复印件。)</w:t>
            </w:r>
          </w:p>
        </w:tc>
        <w:tc>
          <w:tcPr>
            <w:tcW w:w="222" w:type="dxa"/>
            <w:vAlign w:val="center"/>
          </w:tcPr>
          <w:p w14:paraId="40D7C2C1">
            <w:pPr>
              <w:widowControl/>
              <w:jc w:val="left"/>
              <w:rPr>
                <w:rFonts w:ascii="Times New Roman" w:hAnsi="Times New Roman" w:eastAsia="Times New Roman" w:cs="Times New Roman"/>
                <w:kern w:val="0"/>
                <w:sz w:val="20"/>
                <w:szCs w:val="20"/>
              </w:rPr>
            </w:pPr>
          </w:p>
        </w:tc>
      </w:tr>
      <w:tr w14:paraId="6AD7A6D9">
        <w:tblPrEx>
          <w:tblCellMar>
            <w:top w:w="0" w:type="dxa"/>
            <w:left w:w="108" w:type="dxa"/>
            <w:bottom w:w="0" w:type="dxa"/>
            <w:right w:w="108" w:type="dxa"/>
          </w:tblCellMar>
        </w:tblPrEx>
        <w:trPr>
          <w:trHeight w:val="1248" w:hRule="atLeast"/>
        </w:trPr>
        <w:tc>
          <w:tcPr>
            <w:tcW w:w="512" w:type="dxa"/>
            <w:tcBorders>
              <w:top w:val="nil"/>
              <w:left w:val="single" w:color="auto" w:sz="4" w:space="0"/>
              <w:bottom w:val="nil"/>
              <w:right w:val="nil"/>
            </w:tcBorders>
            <w:shd w:val="clear" w:color="auto" w:fill="auto"/>
            <w:noWrap/>
            <w:vAlign w:val="center"/>
          </w:tcPr>
          <w:p w14:paraId="1CE734B4">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1068" w:type="dxa"/>
            <w:tcBorders>
              <w:top w:val="nil"/>
              <w:left w:val="single" w:color="auto" w:sz="4" w:space="0"/>
              <w:bottom w:val="single" w:color="auto" w:sz="4" w:space="0"/>
              <w:right w:val="single" w:color="auto" w:sz="4" w:space="0"/>
            </w:tcBorders>
            <w:shd w:val="clear" w:color="auto" w:fill="auto"/>
            <w:vAlign w:val="center"/>
          </w:tcPr>
          <w:p w14:paraId="6CDDAE76">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技术部分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（30分）</w:t>
            </w:r>
          </w:p>
        </w:tc>
        <w:tc>
          <w:tcPr>
            <w:tcW w:w="831" w:type="dxa"/>
            <w:tcBorders>
              <w:top w:val="nil"/>
              <w:left w:val="nil"/>
              <w:bottom w:val="single" w:color="auto" w:sz="4" w:space="0"/>
              <w:right w:val="single" w:color="auto" w:sz="4" w:space="0"/>
            </w:tcBorders>
            <w:shd w:val="clear" w:color="auto" w:fill="auto"/>
            <w:vAlign w:val="center"/>
          </w:tcPr>
          <w:p w14:paraId="0F7AD33D">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企业服务</w:t>
            </w:r>
          </w:p>
        </w:tc>
        <w:tc>
          <w:tcPr>
            <w:tcW w:w="825" w:type="dxa"/>
            <w:tcBorders>
              <w:top w:val="nil"/>
              <w:left w:val="nil"/>
              <w:bottom w:val="single" w:color="auto" w:sz="4" w:space="0"/>
              <w:right w:val="single" w:color="auto" w:sz="4" w:space="0"/>
            </w:tcBorders>
            <w:shd w:val="clear" w:color="auto" w:fill="auto"/>
            <w:noWrap/>
            <w:vAlign w:val="center"/>
          </w:tcPr>
          <w:p w14:paraId="76069410">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4924" w:type="dxa"/>
            <w:tcBorders>
              <w:top w:val="nil"/>
              <w:left w:val="nil"/>
              <w:bottom w:val="single" w:color="auto" w:sz="4" w:space="0"/>
              <w:right w:val="single" w:color="auto" w:sz="4" w:space="0"/>
            </w:tcBorders>
            <w:shd w:val="clear" w:color="auto" w:fill="auto"/>
            <w:vAlign w:val="center"/>
          </w:tcPr>
          <w:p w14:paraId="756B1FE6">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对投标人提供的代理服务整体方案，项目质量保证措施，服务流程等方面，优得20-30分，良得10-20分，一般得5-10分，较差得0-5分。</w:t>
            </w:r>
          </w:p>
        </w:tc>
        <w:tc>
          <w:tcPr>
            <w:tcW w:w="222" w:type="dxa"/>
            <w:vAlign w:val="center"/>
          </w:tcPr>
          <w:p w14:paraId="29B39E96">
            <w:pPr>
              <w:widowControl/>
              <w:jc w:val="left"/>
              <w:rPr>
                <w:rFonts w:ascii="Times New Roman" w:hAnsi="Times New Roman" w:eastAsia="Times New Roman" w:cs="Times New Roman"/>
                <w:kern w:val="0"/>
                <w:sz w:val="20"/>
                <w:szCs w:val="20"/>
              </w:rPr>
            </w:pPr>
          </w:p>
        </w:tc>
      </w:tr>
      <w:tr w14:paraId="53246E8D">
        <w:tblPrEx>
          <w:tblCellMar>
            <w:top w:w="0" w:type="dxa"/>
            <w:left w:w="108" w:type="dxa"/>
            <w:bottom w:w="0" w:type="dxa"/>
            <w:right w:w="108" w:type="dxa"/>
          </w:tblCellMar>
        </w:tblPrEx>
        <w:trPr>
          <w:trHeight w:val="1560" w:hRule="atLeast"/>
        </w:trPr>
        <w:tc>
          <w:tcPr>
            <w:tcW w:w="512" w:type="dxa"/>
            <w:tcBorders>
              <w:top w:val="single" w:color="auto" w:sz="4" w:space="0"/>
              <w:left w:val="single" w:color="auto" w:sz="4" w:space="0"/>
              <w:bottom w:val="nil"/>
              <w:right w:val="single" w:color="auto" w:sz="4" w:space="0"/>
            </w:tcBorders>
            <w:shd w:val="clear" w:color="auto" w:fill="auto"/>
            <w:noWrap/>
            <w:vAlign w:val="center"/>
          </w:tcPr>
          <w:p w14:paraId="6E28C22C">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1068" w:type="dxa"/>
            <w:tcBorders>
              <w:top w:val="nil"/>
              <w:left w:val="nil"/>
              <w:bottom w:val="nil"/>
              <w:right w:val="single" w:color="auto" w:sz="4" w:space="0"/>
            </w:tcBorders>
            <w:shd w:val="clear" w:color="auto" w:fill="auto"/>
            <w:vAlign w:val="center"/>
          </w:tcPr>
          <w:p w14:paraId="2CAE0F31">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报价部分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（30分）</w:t>
            </w:r>
          </w:p>
        </w:tc>
        <w:tc>
          <w:tcPr>
            <w:tcW w:w="831" w:type="dxa"/>
            <w:tcBorders>
              <w:top w:val="nil"/>
              <w:left w:val="nil"/>
              <w:bottom w:val="single" w:color="auto" w:sz="4" w:space="0"/>
              <w:right w:val="single" w:color="auto" w:sz="4" w:space="0"/>
            </w:tcBorders>
            <w:shd w:val="clear" w:color="auto" w:fill="auto"/>
            <w:vAlign w:val="center"/>
          </w:tcPr>
          <w:p w14:paraId="2C89925C">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投标报价</w:t>
            </w:r>
          </w:p>
        </w:tc>
        <w:tc>
          <w:tcPr>
            <w:tcW w:w="825" w:type="dxa"/>
            <w:tcBorders>
              <w:top w:val="nil"/>
              <w:left w:val="nil"/>
              <w:bottom w:val="single" w:color="auto" w:sz="4" w:space="0"/>
              <w:right w:val="single" w:color="auto" w:sz="4" w:space="0"/>
            </w:tcBorders>
            <w:shd w:val="clear" w:color="auto" w:fill="auto"/>
            <w:noWrap/>
            <w:vAlign w:val="center"/>
          </w:tcPr>
          <w:p w14:paraId="34C098CE">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4924" w:type="dxa"/>
            <w:tcBorders>
              <w:top w:val="nil"/>
              <w:left w:val="nil"/>
              <w:bottom w:val="single" w:color="auto" w:sz="4" w:space="0"/>
              <w:right w:val="single" w:color="auto" w:sz="4" w:space="0"/>
            </w:tcBorders>
            <w:shd w:val="clear" w:color="auto" w:fill="auto"/>
            <w:vAlign w:val="center"/>
          </w:tcPr>
          <w:p w14:paraId="5BB2F851">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投标报价得分＝（评标基准价/投标报价）×30【注：满足遴选公告要求且报价最低的投标报价为评标基准价，评标基准价最低为采购上限价的50%。】（最高得30分）</w:t>
            </w:r>
          </w:p>
        </w:tc>
        <w:tc>
          <w:tcPr>
            <w:tcW w:w="222" w:type="dxa"/>
            <w:vAlign w:val="center"/>
          </w:tcPr>
          <w:p w14:paraId="7BED2153">
            <w:pPr>
              <w:widowControl/>
              <w:jc w:val="left"/>
              <w:rPr>
                <w:rFonts w:ascii="Times New Roman" w:hAnsi="Times New Roman" w:eastAsia="Times New Roman" w:cs="Times New Roman"/>
                <w:kern w:val="0"/>
                <w:sz w:val="20"/>
                <w:szCs w:val="20"/>
              </w:rPr>
            </w:pPr>
          </w:p>
        </w:tc>
      </w:tr>
      <w:tr w14:paraId="12430C20">
        <w:tblPrEx>
          <w:tblCellMar>
            <w:top w:w="0" w:type="dxa"/>
            <w:left w:w="108" w:type="dxa"/>
            <w:bottom w:w="0" w:type="dxa"/>
            <w:right w:w="108" w:type="dxa"/>
          </w:tblCellMar>
        </w:tblPrEx>
        <w:trPr>
          <w:trHeight w:val="939" w:hRule="atLeast"/>
        </w:trPr>
        <w:tc>
          <w:tcPr>
            <w:tcW w:w="241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B20BBD">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总分</w:t>
            </w:r>
          </w:p>
        </w:tc>
        <w:tc>
          <w:tcPr>
            <w:tcW w:w="825" w:type="dxa"/>
            <w:tcBorders>
              <w:top w:val="nil"/>
              <w:left w:val="nil"/>
              <w:bottom w:val="single" w:color="auto" w:sz="4" w:space="0"/>
              <w:right w:val="single" w:color="auto" w:sz="4" w:space="0"/>
            </w:tcBorders>
            <w:shd w:val="clear" w:color="auto" w:fill="auto"/>
            <w:noWrap/>
            <w:vAlign w:val="center"/>
          </w:tcPr>
          <w:p w14:paraId="44791672">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4924" w:type="dxa"/>
            <w:tcBorders>
              <w:top w:val="nil"/>
              <w:left w:val="nil"/>
              <w:bottom w:val="single" w:color="auto" w:sz="4" w:space="0"/>
              <w:right w:val="single" w:color="auto" w:sz="4" w:space="0"/>
            </w:tcBorders>
            <w:shd w:val="clear" w:color="auto" w:fill="auto"/>
            <w:vAlign w:val="center"/>
          </w:tcPr>
          <w:p w14:paraId="745EE382">
            <w:pPr>
              <w:widowControl/>
              <w:jc w:val="center"/>
              <w:rPr>
                <w:rFonts w:hint="eastAsia" w:ascii="宋体" w:hAnsi="宋体" w:eastAsia="宋体" w:cs="宋体"/>
                <w:color w:val="000000"/>
                <w:kern w:val="0"/>
                <w:sz w:val="22"/>
              </w:rPr>
            </w:pPr>
          </w:p>
        </w:tc>
        <w:tc>
          <w:tcPr>
            <w:tcW w:w="222" w:type="dxa"/>
            <w:vAlign w:val="center"/>
          </w:tcPr>
          <w:p w14:paraId="774AF918">
            <w:pPr>
              <w:widowControl/>
              <w:jc w:val="left"/>
              <w:rPr>
                <w:rFonts w:ascii="Times New Roman" w:hAnsi="Times New Roman" w:eastAsia="Times New Roman" w:cs="Times New Roman"/>
                <w:kern w:val="0"/>
                <w:sz w:val="20"/>
                <w:szCs w:val="20"/>
              </w:rPr>
            </w:pPr>
          </w:p>
        </w:tc>
      </w:tr>
    </w:tbl>
    <w:p w14:paraId="0C8624FF">
      <w:pPr>
        <w:widowControl/>
        <w:jc w:val="lef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D18"/>
    <w:rsid w:val="000A3395"/>
    <w:rsid w:val="000B2AAD"/>
    <w:rsid w:val="000C323B"/>
    <w:rsid w:val="000E1F7A"/>
    <w:rsid w:val="00101E86"/>
    <w:rsid w:val="00117743"/>
    <w:rsid w:val="00134D39"/>
    <w:rsid w:val="00136B3F"/>
    <w:rsid w:val="00136B7E"/>
    <w:rsid w:val="0016559C"/>
    <w:rsid w:val="00191715"/>
    <w:rsid w:val="001B150E"/>
    <w:rsid w:val="001C0D23"/>
    <w:rsid w:val="001E57AD"/>
    <w:rsid w:val="0021440E"/>
    <w:rsid w:val="00214B14"/>
    <w:rsid w:val="00223289"/>
    <w:rsid w:val="00245E2B"/>
    <w:rsid w:val="00255C74"/>
    <w:rsid w:val="00264F58"/>
    <w:rsid w:val="0028792B"/>
    <w:rsid w:val="00293AC8"/>
    <w:rsid w:val="002B27E4"/>
    <w:rsid w:val="002B3589"/>
    <w:rsid w:val="002C2AA2"/>
    <w:rsid w:val="003068EA"/>
    <w:rsid w:val="00333BD2"/>
    <w:rsid w:val="00354B10"/>
    <w:rsid w:val="0035775C"/>
    <w:rsid w:val="00375EE1"/>
    <w:rsid w:val="00397B2B"/>
    <w:rsid w:val="003D275F"/>
    <w:rsid w:val="003D6160"/>
    <w:rsid w:val="003E232C"/>
    <w:rsid w:val="003E73D7"/>
    <w:rsid w:val="004474DE"/>
    <w:rsid w:val="004553E7"/>
    <w:rsid w:val="0045685E"/>
    <w:rsid w:val="00465234"/>
    <w:rsid w:val="00472951"/>
    <w:rsid w:val="00473E13"/>
    <w:rsid w:val="00480B33"/>
    <w:rsid w:val="00495581"/>
    <w:rsid w:val="004A238B"/>
    <w:rsid w:val="004A4371"/>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C124A"/>
    <w:rsid w:val="006D38A9"/>
    <w:rsid w:val="006E22CF"/>
    <w:rsid w:val="006E5C15"/>
    <w:rsid w:val="006F735C"/>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3B0C"/>
    <w:rsid w:val="0084631E"/>
    <w:rsid w:val="00847A9E"/>
    <w:rsid w:val="008511A0"/>
    <w:rsid w:val="008533DD"/>
    <w:rsid w:val="00884454"/>
    <w:rsid w:val="0089496D"/>
    <w:rsid w:val="008A4361"/>
    <w:rsid w:val="008C4520"/>
    <w:rsid w:val="008C5595"/>
    <w:rsid w:val="008C6FF8"/>
    <w:rsid w:val="00922E93"/>
    <w:rsid w:val="00926360"/>
    <w:rsid w:val="0093254D"/>
    <w:rsid w:val="00950BC0"/>
    <w:rsid w:val="00956793"/>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E5862"/>
    <w:rsid w:val="00AF3B2F"/>
    <w:rsid w:val="00AF46AE"/>
    <w:rsid w:val="00B04F07"/>
    <w:rsid w:val="00B340FF"/>
    <w:rsid w:val="00B34CB4"/>
    <w:rsid w:val="00B524FB"/>
    <w:rsid w:val="00B64CD0"/>
    <w:rsid w:val="00B8026E"/>
    <w:rsid w:val="00B930DB"/>
    <w:rsid w:val="00BA78AE"/>
    <w:rsid w:val="00BB5495"/>
    <w:rsid w:val="00BD7463"/>
    <w:rsid w:val="00BE17AB"/>
    <w:rsid w:val="00BF4A41"/>
    <w:rsid w:val="00C02E24"/>
    <w:rsid w:val="00C21F33"/>
    <w:rsid w:val="00C2202F"/>
    <w:rsid w:val="00C346BC"/>
    <w:rsid w:val="00C40137"/>
    <w:rsid w:val="00C61AEE"/>
    <w:rsid w:val="00C62B68"/>
    <w:rsid w:val="00C75ED2"/>
    <w:rsid w:val="00C848E9"/>
    <w:rsid w:val="00CD508A"/>
    <w:rsid w:val="00CE62DD"/>
    <w:rsid w:val="00CF4CC8"/>
    <w:rsid w:val="00D01D36"/>
    <w:rsid w:val="00D01F64"/>
    <w:rsid w:val="00D13228"/>
    <w:rsid w:val="00D30623"/>
    <w:rsid w:val="00D36E79"/>
    <w:rsid w:val="00D51DEB"/>
    <w:rsid w:val="00D76253"/>
    <w:rsid w:val="00D777A6"/>
    <w:rsid w:val="00D9787E"/>
    <w:rsid w:val="00DA01E5"/>
    <w:rsid w:val="00DA1A8E"/>
    <w:rsid w:val="00DE0DE9"/>
    <w:rsid w:val="00DE6C9E"/>
    <w:rsid w:val="00E00C09"/>
    <w:rsid w:val="00E13EA6"/>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69B736F"/>
    <w:rsid w:val="1834538F"/>
    <w:rsid w:val="18CC6771"/>
    <w:rsid w:val="1AB01BE3"/>
    <w:rsid w:val="1B024A1B"/>
    <w:rsid w:val="1CE77425"/>
    <w:rsid w:val="1D5C2A5E"/>
    <w:rsid w:val="1DA87FC7"/>
    <w:rsid w:val="1E054C4F"/>
    <w:rsid w:val="1E150B68"/>
    <w:rsid w:val="1F335508"/>
    <w:rsid w:val="1F690BB8"/>
    <w:rsid w:val="214C6115"/>
    <w:rsid w:val="223A2317"/>
    <w:rsid w:val="278F0046"/>
    <w:rsid w:val="29804D3A"/>
    <w:rsid w:val="2A157AC6"/>
    <w:rsid w:val="2E797ACE"/>
    <w:rsid w:val="2F8512FC"/>
    <w:rsid w:val="30316D8E"/>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EF50C5D"/>
    <w:rsid w:val="3FBB7EA0"/>
    <w:rsid w:val="433A7208"/>
    <w:rsid w:val="43AA224B"/>
    <w:rsid w:val="44015A22"/>
    <w:rsid w:val="468C46BC"/>
    <w:rsid w:val="473832D9"/>
    <w:rsid w:val="4A6B06F9"/>
    <w:rsid w:val="4AFB2C10"/>
    <w:rsid w:val="4C4709E2"/>
    <w:rsid w:val="4D66553A"/>
    <w:rsid w:val="4DBD6EEB"/>
    <w:rsid w:val="4F702F33"/>
    <w:rsid w:val="4FB04EEB"/>
    <w:rsid w:val="52730AE9"/>
    <w:rsid w:val="52D0653F"/>
    <w:rsid w:val="569A59E8"/>
    <w:rsid w:val="58893220"/>
    <w:rsid w:val="5903698A"/>
    <w:rsid w:val="59E34532"/>
    <w:rsid w:val="5A9151A8"/>
    <w:rsid w:val="5BB26726"/>
    <w:rsid w:val="60291AE5"/>
    <w:rsid w:val="605D6E26"/>
    <w:rsid w:val="61601DAF"/>
    <w:rsid w:val="62E971D1"/>
    <w:rsid w:val="638A3118"/>
    <w:rsid w:val="653611F1"/>
    <w:rsid w:val="654042C5"/>
    <w:rsid w:val="67EF5014"/>
    <w:rsid w:val="6B761442"/>
    <w:rsid w:val="6E1B6F75"/>
    <w:rsid w:val="6E421B8B"/>
    <w:rsid w:val="6ED91E9B"/>
    <w:rsid w:val="707E3A64"/>
    <w:rsid w:val="723009CF"/>
    <w:rsid w:val="72F23F46"/>
    <w:rsid w:val="741D7F6F"/>
    <w:rsid w:val="755B7BD7"/>
    <w:rsid w:val="75DA1EAA"/>
    <w:rsid w:val="7A1E2086"/>
    <w:rsid w:val="7C285009"/>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Hyperlink"/>
    <w:basedOn w:val="6"/>
    <w:autoRedefine/>
    <w:unhideWhenUsed/>
    <w:qFormat/>
    <w:uiPriority w:val="99"/>
    <w:rPr>
      <w:color w:val="0563C1" w:themeColor="hyperlink"/>
      <w:u w:val="single"/>
      <w14:textFill>
        <w14:solidFill>
          <w14:schemeClr w14:val="hlink"/>
        </w14:solidFill>
      </w14:textFill>
    </w:rPr>
  </w:style>
  <w:style w:type="character" w:customStyle="1" w:styleId="8">
    <w:name w:val="未处理的提及1"/>
    <w:basedOn w:val="6"/>
    <w:autoRedefine/>
    <w:semiHidden/>
    <w:unhideWhenUsed/>
    <w:qFormat/>
    <w:uiPriority w:val="99"/>
    <w:rPr>
      <w:color w:val="605E5C"/>
      <w:shd w:val="clear" w:color="auto" w:fill="E1DFDD"/>
    </w:rPr>
  </w:style>
  <w:style w:type="character" w:customStyle="1" w:styleId="9">
    <w:name w:val="页眉 字符"/>
    <w:basedOn w:val="6"/>
    <w:link w:val="3"/>
    <w:autoRedefine/>
    <w:qFormat/>
    <w:uiPriority w:val="99"/>
    <w:rPr>
      <w:sz w:val="18"/>
      <w:szCs w:val="18"/>
    </w:rPr>
  </w:style>
  <w:style w:type="character" w:customStyle="1" w:styleId="10">
    <w:name w:val="页脚 字符"/>
    <w:basedOn w:val="6"/>
    <w:link w:val="2"/>
    <w:autoRedefine/>
    <w:qFormat/>
    <w:uiPriority w:val="99"/>
    <w:rPr>
      <w:sz w:val="18"/>
      <w:szCs w:val="18"/>
    </w:rPr>
  </w:style>
  <w:style w:type="paragraph" w:styleId="1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924</Words>
  <Characters>1017</Characters>
  <Lines>11</Lines>
  <Paragraphs>3</Paragraphs>
  <TotalTime>1</TotalTime>
  <ScaleCrop>false</ScaleCrop>
  <LinksUpToDate>false</LinksUpToDate>
  <CharactersWithSpaces>1133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2025-03-07T01:45:00Z</dcterms:created>
  <dc:creator>xie qiaoyi</dc:creator>
  <cp:lastModifiedBy>zhaohong</cp:lastModifiedBy>
  <dcterms:modified xsi:type="dcterms:W3CDTF">2025-04-01T07:24:01Z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BBAFB2228E37483F95461100F2D4B63A_13</vt:lpwstr>
  </property>
  <property fmtid="{D5CDD505-2E9C-101B-9397-08002B2CF9AE}" pid="4" name="KSOTemplateDocerSaveRecord">
    <vt:lpwstr>eyJoZGlkIjoiZjFmZWIzNDg2MmIzZjExOTIzMmViNTBmYTMwYTk0ZWYiLCJ1c2VySWQiOiIxMTQ1ODIxMzgwIn0=</vt:lpwstr>
  </property>
</Properties>
</file>