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81BF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茂名滨海发展集团有限公司劳务外包服务商采购项目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 w14:paraId="1AAB3A3D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6B6AA91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52F4859D"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茂名滨海发展集团有限公司劳务外包服务商采购项目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需要开展</w:t>
      </w:r>
      <w:r>
        <w:rPr>
          <w:rFonts w:hint="eastAsia" w:ascii="仿宋_GB2312" w:eastAsia="仿宋_GB2312"/>
          <w:sz w:val="32"/>
          <w:szCs w:val="32"/>
        </w:rPr>
        <w:t>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7月15日17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0048C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14E37A79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5AC9311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茂名滨海发展集团有限公司劳务外包服务商采购项目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 w14:paraId="2522ACE1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 w14:paraId="313DD44F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356D74B3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0EAC4F95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 w14:paraId="4B441497">
      <w:pPr>
        <w:spacing w:line="590" w:lineRule="exact"/>
        <w:jc w:val="center"/>
        <w:rPr>
          <w:rFonts w:hint="default" w:ascii="仿宋_GB2312" w:eastAsia="仿宋_GB2312"/>
          <w:sz w:val="28"/>
          <w:szCs w:val="28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10日</w:t>
      </w:r>
    </w:p>
    <w:p w14:paraId="4F0D6A28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14D518E6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1799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F5AE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公开遴选报名表-茂名滨海发展集团有限公司劳务外包服务商采购项目招标代理服务</w:t>
            </w:r>
          </w:p>
        </w:tc>
      </w:tr>
      <w:tr w14:paraId="6AC93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C96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3FDEF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B0E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5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4298">
            <w:pPr>
              <w:widowControl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茂名滨海发展集团有限公司劳务外包服务商采购项目招标代理服务</w:t>
            </w:r>
          </w:p>
        </w:tc>
      </w:tr>
      <w:tr w14:paraId="66FE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ED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B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739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为做好招标流程，现阶段公开向社会遴选该项目的招标代理单位。本项目的代理服务费报价形式以下浮率方式报价，实际产生代理服务费由项目实际中标单位支付，支付的金额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01E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0C8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1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6D3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446D8451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把控招标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文件质量；</w:t>
            </w:r>
          </w:p>
          <w:p w14:paraId="5A23165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0A2C21D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1CE59F4A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337CD1F4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5A794C4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2B4EBD2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</w:t>
            </w:r>
            <w:r>
              <w:rPr>
                <w:rFonts w:ascii="宋体" w:hAnsi="宋体" w:eastAsia="宋体" w:cs="仿宋"/>
                <w:sz w:val="24"/>
                <w:szCs w:val="24"/>
              </w:rPr>
              <w:t>过程中需要配合其他相关工作。</w:t>
            </w:r>
          </w:p>
          <w:p w14:paraId="383772D0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57B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9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4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4A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05A6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074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3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A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31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54BB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80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48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8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7C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茂名滨海发展集团有限公司劳务外包服务商采购项目招标代理服务</w:t>
            </w:r>
          </w:p>
        </w:tc>
      </w:tr>
      <w:tr w14:paraId="38E4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83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F5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0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3DE7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55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F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11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0EB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7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8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D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A4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DD6445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CFF03D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C4498D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ECFDA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88A03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9C3BAF5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0C72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EB0B89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35BA647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494412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E543D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3B0DCB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DA0833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F6A88A9">
            <w:pPr>
              <w:widowControl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58202FC1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DB4C8E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638425E9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tbl>
      <w:tblPr>
        <w:tblStyle w:val="6"/>
        <w:tblW w:w="81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068"/>
        <w:gridCol w:w="831"/>
        <w:gridCol w:w="825"/>
        <w:gridCol w:w="4924"/>
        <w:gridCol w:w="222"/>
      </w:tblGrid>
      <w:tr w14:paraId="78E9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10" w:hRule="atLeast"/>
        </w:trPr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E7B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AEB9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B5F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521" w:hRule="atLeast"/>
        </w:trPr>
        <w:tc>
          <w:tcPr>
            <w:tcW w:w="8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BD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综合评分表</w:t>
            </w:r>
          </w:p>
        </w:tc>
      </w:tr>
      <w:tr w14:paraId="32E6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41" w:hRule="atLeast"/>
        </w:trPr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9F2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8DD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875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3F3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8E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14:paraId="08D0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19A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D3F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9B6E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7FB1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712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13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C47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4A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E7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商务部分（40分）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D1E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企业业绩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5C2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97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自2022年1月1日起，完成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类似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劳务外包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项目的招标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代理业务的，得15分。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（提供类似项目招标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公告截图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代理合同复印件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，不提供不得分）</w:t>
            </w:r>
          </w:p>
        </w:tc>
        <w:tc>
          <w:tcPr>
            <w:tcW w:w="36" w:type="dxa"/>
            <w:vAlign w:val="center"/>
          </w:tcPr>
          <w:p w14:paraId="209118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4D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A01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DD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179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企业认证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51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987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投标人具有有效的质量管理体系认证证书、环境管理体系认证证书、职业健康安全管理体系认证证书，每项得2分，最高得6分。</w:t>
            </w:r>
          </w:p>
        </w:tc>
        <w:tc>
          <w:tcPr>
            <w:tcW w:w="36" w:type="dxa"/>
            <w:vAlign w:val="center"/>
          </w:tcPr>
          <w:p w14:paraId="0F1466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E3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A9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5CF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A30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团队实力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41B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250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拟派项目组人员具有中级或以上职称的，每人得3分，最高得9分。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（提供职称证书复印件，不提供不得分）</w:t>
            </w:r>
          </w:p>
        </w:tc>
        <w:tc>
          <w:tcPr>
            <w:tcW w:w="36" w:type="dxa"/>
            <w:vAlign w:val="center"/>
          </w:tcPr>
          <w:p w14:paraId="1E3DAFB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E1B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F4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E1F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F5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服务便利性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4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E59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投标人在茂名市区域内注册或设有分支机构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或子公司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的，且办公场地200平方米及以上的得10分，办公场地100平方米-200平方米（不含）的的5分。办公场地不到100平方米的不得分。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（注：提供产权证明（或租赁合同）复印件。)</w:t>
            </w:r>
          </w:p>
        </w:tc>
        <w:tc>
          <w:tcPr>
            <w:tcW w:w="36" w:type="dxa"/>
            <w:vAlign w:val="center"/>
          </w:tcPr>
          <w:p w14:paraId="6D98D42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5B3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80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8B6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C73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5A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A9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  <w:tc>
          <w:tcPr>
            <w:tcW w:w="36" w:type="dxa"/>
            <w:vAlign w:val="center"/>
          </w:tcPr>
          <w:p w14:paraId="0C54ADD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D7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388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5EFF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报价部分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7C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FA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B90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投标报价得分＝（报价下浮率/评标基准价）×30【注：满足遴选公告要求且报价下浮率最高的投标报价为评标基准价，评标基准价最高下浮率为50%。】（最高得30分）</w:t>
            </w:r>
          </w:p>
        </w:tc>
        <w:tc>
          <w:tcPr>
            <w:tcW w:w="36" w:type="dxa"/>
            <w:vAlign w:val="center"/>
          </w:tcPr>
          <w:p w14:paraId="5B23F1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EE8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B7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86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A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vAlign w:val="center"/>
          </w:tcPr>
          <w:p w14:paraId="62CA1D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C9C652D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NDg4NDVhZGM3NjI5YjcxNDBlNzdkY2JmZjU2YzQifQ=="/>
    <w:docVar w:name="KSO_WPS_MARK_KEY" w:val="285506ff-b6ec-4674-befd-368c638f5838"/>
  </w:docVars>
  <w:rsids>
    <w:rsidRoot w:val="0016559C"/>
    <w:rsid w:val="000101E9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B150E"/>
    <w:rsid w:val="001C0D23"/>
    <w:rsid w:val="001E57AD"/>
    <w:rsid w:val="0021440E"/>
    <w:rsid w:val="00214B14"/>
    <w:rsid w:val="00223289"/>
    <w:rsid w:val="00245E2B"/>
    <w:rsid w:val="00255C74"/>
    <w:rsid w:val="00264F58"/>
    <w:rsid w:val="0028792B"/>
    <w:rsid w:val="00293AC8"/>
    <w:rsid w:val="002B27E4"/>
    <w:rsid w:val="002B3589"/>
    <w:rsid w:val="002C2AA2"/>
    <w:rsid w:val="003068EA"/>
    <w:rsid w:val="00333BD2"/>
    <w:rsid w:val="00354B10"/>
    <w:rsid w:val="0035775C"/>
    <w:rsid w:val="00375EE1"/>
    <w:rsid w:val="00397B2B"/>
    <w:rsid w:val="003D275F"/>
    <w:rsid w:val="003D6160"/>
    <w:rsid w:val="003E232C"/>
    <w:rsid w:val="003E73D7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20A20"/>
    <w:rsid w:val="008342EF"/>
    <w:rsid w:val="00843B0C"/>
    <w:rsid w:val="0084631E"/>
    <w:rsid w:val="00847A9E"/>
    <w:rsid w:val="008511A0"/>
    <w:rsid w:val="008533DD"/>
    <w:rsid w:val="00884454"/>
    <w:rsid w:val="0089496D"/>
    <w:rsid w:val="008A0013"/>
    <w:rsid w:val="008A4361"/>
    <w:rsid w:val="008C4520"/>
    <w:rsid w:val="008C5595"/>
    <w:rsid w:val="008C6FF8"/>
    <w:rsid w:val="00922E93"/>
    <w:rsid w:val="00926360"/>
    <w:rsid w:val="0093254D"/>
    <w:rsid w:val="00950BC0"/>
    <w:rsid w:val="00956793"/>
    <w:rsid w:val="009810E6"/>
    <w:rsid w:val="00982FDA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8414F"/>
    <w:rsid w:val="00B930DB"/>
    <w:rsid w:val="00BA78AE"/>
    <w:rsid w:val="00BB5495"/>
    <w:rsid w:val="00BD7463"/>
    <w:rsid w:val="00BE17AB"/>
    <w:rsid w:val="00BF4A41"/>
    <w:rsid w:val="00C02E24"/>
    <w:rsid w:val="00C1052A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CF4CC8"/>
    <w:rsid w:val="00D01D36"/>
    <w:rsid w:val="00D01F64"/>
    <w:rsid w:val="00D13228"/>
    <w:rsid w:val="00D30623"/>
    <w:rsid w:val="00D36E79"/>
    <w:rsid w:val="00D51DEB"/>
    <w:rsid w:val="00D76253"/>
    <w:rsid w:val="00D777A6"/>
    <w:rsid w:val="00D9787E"/>
    <w:rsid w:val="00DA01E5"/>
    <w:rsid w:val="00DA1A8E"/>
    <w:rsid w:val="00DD4A25"/>
    <w:rsid w:val="00DE0DE9"/>
    <w:rsid w:val="00DE6C9E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173777F"/>
    <w:rsid w:val="138767C9"/>
    <w:rsid w:val="15851796"/>
    <w:rsid w:val="1680360B"/>
    <w:rsid w:val="18CC6771"/>
    <w:rsid w:val="1AB01BE3"/>
    <w:rsid w:val="1B024A1B"/>
    <w:rsid w:val="1C850321"/>
    <w:rsid w:val="1CE77425"/>
    <w:rsid w:val="1D5C2A5E"/>
    <w:rsid w:val="1DA87FC7"/>
    <w:rsid w:val="1E054C4F"/>
    <w:rsid w:val="1E150B68"/>
    <w:rsid w:val="1F335508"/>
    <w:rsid w:val="1F690BB8"/>
    <w:rsid w:val="214C6115"/>
    <w:rsid w:val="22541828"/>
    <w:rsid w:val="25526809"/>
    <w:rsid w:val="278F0046"/>
    <w:rsid w:val="29804D3A"/>
    <w:rsid w:val="2DE3046E"/>
    <w:rsid w:val="2F8512FC"/>
    <w:rsid w:val="30552D1F"/>
    <w:rsid w:val="30C07C72"/>
    <w:rsid w:val="34873421"/>
    <w:rsid w:val="35304E7C"/>
    <w:rsid w:val="35B90DD2"/>
    <w:rsid w:val="36B82C5F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E5D55C6"/>
    <w:rsid w:val="3FBB7EA0"/>
    <w:rsid w:val="410424AE"/>
    <w:rsid w:val="433A7208"/>
    <w:rsid w:val="43AA224B"/>
    <w:rsid w:val="468C46BC"/>
    <w:rsid w:val="4A6B06F9"/>
    <w:rsid w:val="4AFB2C10"/>
    <w:rsid w:val="4C4709E2"/>
    <w:rsid w:val="4D3E25C6"/>
    <w:rsid w:val="4D66553A"/>
    <w:rsid w:val="4DBD6EEB"/>
    <w:rsid w:val="4F702F33"/>
    <w:rsid w:val="52730AE9"/>
    <w:rsid w:val="52D0653F"/>
    <w:rsid w:val="569A59E8"/>
    <w:rsid w:val="58893220"/>
    <w:rsid w:val="5903698A"/>
    <w:rsid w:val="59482813"/>
    <w:rsid w:val="59E34532"/>
    <w:rsid w:val="5A9151A8"/>
    <w:rsid w:val="5BB26726"/>
    <w:rsid w:val="60291AE5"/>
    <w:rsid w:val="605D6E26"/>
    <w:rsid w:val="61601DAF"/>
    <w:rsid w:val="61B85CF2"/>
    <w:rsid w:val="638A3118"/>
    <w:rsid w:val="653611F1"/>
    <w:rsid w:val="654042C5"/>
    <w:rsid w:val="670818F0"/>
    <w:rsid w:val="67EF5014"/>
    <w:rsid w:val="6E1B6F75"/>
    <w:rsid w:val="6E421B8B"/>
    <w:rsid w:val="6ED91E9B"/>
    <w:rsid w:val="707E3A64"/>
    <w:rsid w:val="723009CF"/>
    <w:rsid w:val="729C357B"/>
    <w:rsid w:val="72F23F46"/>
    <w:rsid w:val="741D7F6F"/>
    <w:rsid w:val="755B7BD7"/>
    <w:rsid w:val="75DA1EAA"/>
    <w:rsid w:val="7A1E2086"/>
    <w:rsid w:val="7C83325F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1270</Words>
  <Characters>1367</Characters>
  <Lines>11</Lines>
  <Paragraphs>3</Paragraphs>
  <TotalTime>7</TotalTime>
  <ScaleCrop>false</ScaleCrop>
  <LinksUpToDate>false</LinksUpToDate>
  <CharactersWithSpaces>1427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2025-03-07T01:45:00Z</dcterms:created>
  <dc:creator>xie qiaoyi</dc:creator>
  <cp:lastModifiedBy>zhaohong</cp:lastModifiedBy>
  <dcterms:modified xsi:type="dcterms:W3CDTF">2025-07-10T02:30:26Z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19F1D9C0DD944F8487D892F9D93CF3BB_13</vt:lpwstr>
  </property>
  <property fmtid="{D5CDD505-2E9C-101B-9397-08002B2CF9AE}" pid="4" name="KSOTemplateDocerSaveRecord">
    <vt:lpwstr>eyJoZGlkIjoiNTU1ZjhkMDk4OTlhOWQ4YzAwYzM2NTIwNTcyNzFkZjIiLCJ1c2VySWQiOiIxMTQ1ODIxMzgwIn0=</vt:lpwstr>
  </property>
</Properties>
</file>