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22BE" w14:textId="77777777" w:rsidR="00222F68" w:rsidRDefault="00000000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关于公开遴选茂名滨海新区西</w:t>
      </w:r>
      <w:proofErr w:type="gramStart"/>
      <w:r>
        <w:rPr>
          <w:rFonts w:ascii="方正小标宋简体" w:eastAsia="方正小标宋简体" w:hint="eastAsia"/>
          <w:spacing w:val="-20"/>
          <w:sz w:val="44"/>
          <w:szCs w:val="44"/>
        </w:rPr>
        <w:t>葛</w:t>
      </w:r>
      <w:proofErr w:type="gramEnd"/>
      <w:r>
        <w:rPr>
          <w:rFonts w:ascii="方正小标宋简体" w:eastAsia="方正小标宋简体" w:hint="eastAsia"/>
          <w:spacing w:val="-20"/>
          <w:sz w:val="44"/>
          <w:szCs w:val="44"/>
        </w:rPr>
        <w:t>驿站灯光亮化设备采购项目招标代理的公告</w:t>
      </w:r>
    </w:p>
    <w:p w14:paraId="39E67437" w14:textId="77777777" w:rsidR="00222F68" w:rsidRDefault="00222F68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12825BFA" w14:textId="77777777" w:rsidR="00222F68" w:rsidRDefault="00000000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代理机构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2E0F34BA" w14:textId="6811550B" w:rsidR="00222F68" w:rsidRDefault="00000000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单位实施的</w:t>
      </w:r>
      <w:r>
        <w:rPr>
          <w:rFonts w:ascii="仿宋_GB2312" w:eastAsia="仿宋_GB2312" w:hint="eastAsia"/>
          <w:sz w:val="32"/>
          <w:szCs w:val="32"/>
        </w:rPr>
        <w:t>茂名滨海新区西</w:t>
      </w:r>
      <w:proofErr w:type="gramStart"/>
      <w:r>
        <w:rPr>
          <w:rFonts w:ascii="仿宋_GB2312" w:eastAsia="仿宋_GB2312" w:hint="eastAsia"/>
          <w:sz w:val="32"/>
          <w:szCs w:val="32"/>
        </w:rPr>
        <w:t>葛</w:t>
      </w:r>
      <w:proofErr w:type="gramEnd"/>
      <w:r>
        <w:rPr>
          <w:rFonts w:ascii="仿宋_GB2312" w:eastAsia="仿宋_GB2312" w:hint="eastAsia"/>
          <w:sz w:val="32"/>
          <w:szCs w:val="32"/>
        </w:rPr>
        <w:t>驿站灯光亮化设备采购项目需要进行公开招标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ascii="仿宋_GB2312" w:eastAsia="仿宋_GB2312" w:hint="eastAsia"/>
          <w:sz w:val="32"/>
          <w:szCs w:val="32"/>
        </w:rPr>
        <w:t>工作，项目</w:t>
      </w:r>
      <w:r>
        <w:rPr>
          <w:rFonts w:ascii="仿宋_GB2312" w:eastAsia="仿宋_GB2312"/>
          <w:sz w:val="32"/>
          <w:szCs w:val="32"/>
        </w:rPr>
        <w:t>类型</w:t>
      </w:r>
      <w:r>
        <w:rPr>
          <w:rFonts w:ascii="仿宋_GB2312" w:eastAsia="仿宋_GB2312" w:hint="eastAsia"/>
          <w:sz w:val="32"/>
          <w:szCs w:val="32"/>
        </w:rPr>
        <w:t>为货物类。为做好招标</w:t>
      </w:r>
      <w:r>
        <w:rPr>
          <w:rFonts w:ascii="仿宋_GB2312" w:eastAsia="仿宋_GB2312"/>
          <w:sz w:val="32"/>
          <w:szCs w:val="32"/>
        </w:rPr>
        <w:t>采购工作</w:t>
      </w:r>
      <w:r>
        <w:rPr>
          <w:rFonts w:ascii="仿宋_GB2312" w:eastAsia="仿宋_GB2312" w:hint="eastAsia"/>
          <w:sz w:val="32"/>
          <w:szCs w:val="32"/>
        </w:rPr>
        <w:t>，现向社会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遴选</w:t>
      </w:r>
      <w:r>
        <w:rPr>
          <w:rFonts w:ascii="仿宋_GB2312" w:eastAsia="仿宋_GB2312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t>项目的招标代理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。报名</w:t>
      </w:r>
      <w:r>
        <w:rPr>
          <w:rFonts w:ascii="仿宋_GB2312" w:eastAsia="仿宋_GB2312"/>
          <w:sz w:val="32"/>
          <w:szCs w:val="32"/>
        </w:rPr>
        <w:t>文件及</w:t>
      </w:r>
      <w:r>
        <w:rPr>
          <w:rFonts w:ascii="仿宋_GB2312" w:eastAsia="仿宋_GB2312" w:hint="eastAsia"/>
          <w:sz w:val="32"/>
          <w:szCs w:val="32"/>
        </w:rPr>
        <w:t>格式要求详见附件，请各</w:t>
      </w:r>
      <w:r>
        <w:rPr>
          <w:rFonts w:ascii="仿宋_GB2312" w:eastAsia="仿宋_GB2312"/>
          <w:sz w:val="32"/>
          <w:szCs w:val="32"/>
        </w:rPr>
        <w:t>代理机构</w:t>
      </w:r>
      <w:r>
        <w:rPr>
          <w:rFonts w:ascii="仿宋_GB2312" w:eastAsia="仿宋_GB2312" w:hint="eastAsia"/>
          <w:sz w:val="32"/>
          <w:szCs w:val="32"/>
        </w:rPr>
        <w:t>于2025年9月1</w:t>
      </w:r>
      <w:r w:rsidR="0027237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日17点</w:t>
      </w:r>
      <w:r>
        <w:rPr>
          <w:rFonts w:ascii="仿宋_GB2312" w:eastAsia="仿宋_GB2312"/>
          <w:sz w:val="32"/>
          <w:szCs w:val="32"/>
        </w:rPr>
        <w:t>前将报名文件扫描发送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r>
        <w:rPr>
          <w:rFonts w:ascii="仿宋_GB2312" w:eastAsia="仿宋_GB2312" w:hint="eastAsia"/>
          <w:sz w:val="32"/>
          <w:szCs w:val="32"/>
        </w:rPr>
        <w:t>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遴选原则按综合评</w:t>
      </w:r>
      <w:r>
        <w:rPr>
          <w:rFonts w:ascii="仿宋_GB2312" w:eastAsia="仿宋_GB2312"/>
          <w:sz w:val="32"/>
          <w:szCs w:val="32"/>
        </w:rPr>
        <w:t>比</w:t>
      </w:r>
      <w:r>
        <w:rPr>
          <w:rFonts w:ascii="仿宋_GB2312" w:eastAsia="仿宋_GB2312" w:hint="eastAsia"/>
          <w:sz w:val="32"/>
          <w:szCs w:val="32"/>
        </w:rPr>
        <w:t>法，</w:t>
      </w:r>
      <w:r>
        <w:rPr>
          <w:rFonts w:ascii="仿宋_GB2312" w:eastAsia="仿宋_GB2312"/>
          <w:sz w:val="32"/>
          <w:szCs w:val="32"/>
        </w:rPr>
        <w:t>评选出</w:t>
      </w:r>
      <w:r>
        <w:rPr>
          <w:rFonts w:ascii="仿宋_GB2312" w:eastAsia="仿宋_GB2312" w:hint="eastAsia"/>
          <w:sz w:val="32"/>
          <w:szCs w:val="32"/>
        </w:rPr>
        <w:t>综合得分前三名的</w:t>
      </w:r>
      <w:r>
        <w:rPr>
          <w:rFonts w:ascii="仿宋_GB2312" w:eastAsia="仿宋_GB2312"/>
          <w:sz w:val="32"/>
          <w:szCs w:val="32"/>
        </w:rPr>
        <w:t>代理机构，并随机抽取</w:t>
      </w:r>
      <w:r>
        <w:rPr>
          <w:rFonts w:ascii="仿宋_GB2312" w:eastAsia="仿宋_GB2312" w:hint="eastAsia"/>
          <w:sz w:val="32"/>
          <w:szCs w:val="32"/>
        </w:rPr>
        <w:t>其中一家代理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作为</w:t>
      </w:r>
      <w:r>
        <w:rPr>
          <w:rFonts w:ascii="仿宋_GB2312" w:eastAsia="仿宋_GB2312"/>
          <w:sz w:val="32"/>
          <w:szCs w:val="32"/>
        </w:rPr>
        <w:t>本项目</w:t>
      </w:r>
      <w:r>
        <w:rPr>
          <w:rFonts w:ascii="仿宋_GB2312" w:eastAsia="仿宋_GB2312" w:hint="eastAsia"/>
          <w:sz w:val="32"/>
          <w:szCs w:val="32"/>
        </w:rPr>
        <w:t>服务单位。</w:t>
      </w:r>
    </w:p>
    <w:p w14:paraId="1866922C" w14:textId="77777777" w:rsidR="00222F68" w:rsidRDefault="0000000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32026A37" w14:textId="77777777" w:rsidR="00222F68" w:rsidRDefault="00222F6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5FC583D" w14:textId="77777777" w:rsidR="00222F68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附件：1.茂名滨海新区西</w:t>
      </w:r>
      <w:proofErr w:type="gramStart"/>
      <w:r>
        <w:rPr>
          <w:rFonts w:ascii="仿宋_GB2312" w:eastAsia="仿宋_GB2312" w:hint="eastAsia"/>
          <w:sz w:val="32"/>
          <w:szCs w:val="32"/>
        </w:rPr>
        <w:t>葛</w:t>
      </w:r>
      <w:proofErr w:type="gramEnd"/>
      <w:r>
        <w:rPr>
          <w:rFonts w:ascii="仿宋_GB2312" w:eastAsia="仿宋_GB2312" w:hint="eastAsia"/>
          <w:sz w:val="32"/>
          <w:szCs w:val="32"/>
        </w:rPr>
        <w:t>驿站灯光亮化设备采购项目招标代理公开遴选报名表</w:t>
      </w:r>
    </w:p>
    <w:p w14:paraId="2CD1DF13" w14:textId="77777777" w:rsidR="00222F68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2.综合评分表</w:t>
      </w:r>
    </w:p>
    <w:p w14:paraId="0A679740" w14:textId="77777777" w:rsidR="00222F68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3222055" w14:textId="77777777" w:rsidR="00222F68" w:rsidRDefault="00000000">
      <w:pPr>
        <w:spacing w:line="60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茂名滨海新城综合服务有限公司</w:t>
      </w:r>
    </w:p>
    <w:p w14:paraId="0F3F2B8F" w14:textId="7C21542A" w:rsidR="00222F68" w:rsidRDefault="00000000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 xml:space="preserve">   2025年9月1</w:t>
      </w:r>
      <w:r w:rsidR="0027237F">
        <w:rPr>
          <w:rFonts w:ascii="仿宋_GB2312" w:eastAsia="仿宋_GB2312" w:hint="eastAsia"/>
          <w:sz w:val="32"/>
          <w:szCs w:val="32"/>
        </w:rPr>
        <w:t>6日</w:t>
      </w:r>
    </w:p>
    <w:p w14:paraId="0576B5CA" w14:textId="77777777" w:rsidR="00222F68" w:rsidRDefault="00222F68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34074C3A" w14:textId="77777777" w:rsidR="00222F68" w:rsidRDefault="00222F68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15E543DA" w14:textId="77777777" w:rsidR="00222F68" w:rsidRDefault="00222F68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2A9AB04A" w14:textId="77777777" w:rsidR="00222F68" w:rsidRDefault="00222F68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3628B9A2" w14:textId="77777777" w:rsidR="00222F68" w:rsidRDefault="00000000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222F68" w14:paraId="2C9BCC4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A18B" w14:textId="77777777" w:rsidR="00222F68" w:rsidRDefault="00000000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茂名滨海新区西</w:t>
            </w:r>
            <w:proofErr w:type="gramStart"/>
            <w:r>
              <w:rPr>
                <w:rFonts w:ascii="方正小标宋简体" w:eastAsia="方正小标宋简体" w:hint="eastAsia"/>
                <w:sz w:val="36"/>
                <w:szCs w:val="36"/>
              </w:rPr>
              <w:t>葛</w:t>
            </w:r>
            <w:proofErr w:type="gramEnd"/>
            <w:r>
              <w:rPr>
                <w:rFonts w:ascii="方正小标宋简体" w:eastAsia="方正小标宋简体" w:hint="eastAsia"/>
                <w:sz w:val="36"/>
                <w:szCs w:val="36"/>
              </w:rPr>
              <w:t>驿站灯光亮化设备采购项目</w:t>
            </w:r>
          </w:p>
          <w:p w14:paraId="1956A8F0" w14:textId="77777777" w:rsidR="00222F68" w:rsidRDefault="00000000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招标代理公开遴选报名表</w:t>
            </w:r>
          </w:p>
        </w:tc>
      </w:tr>
      <w:tr w:rsidR="00222F68" w14:paraId="3FE2CCF5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90933" w14:textId="0B57D4DB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业主单位发函时间：2025年9月1</w:t>
            </w:r>
            <w:r w:rsidR="00272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22F68" w14:paraId="438E5F9E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AE57" w14:textId="77777777" w:rsidR="00222F68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298E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2998" w14:textId="77777777" w:rsidR="00222F68" w:rsidRDefault="00000000">
            <w:pPr>
              <w:widowControl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茂名滨海新区西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葛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驿站灯光亮化设备采购项目</w:t>
            </w:r>
          </w:p>
          <w:p w14:paraId="4125006E" w14:textId="77777777" w:rsidR="00222F68" w:rsidRDefault="00000000">
            <w:pPr>
              <w:widowControl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招标代理公开遴选报名表</w:t>
            </w:r>
          </w:p>
        </w:tc>
      </w:tr>
      <w:tr w:rsidR="00222F68" w14:paraId="487C0B66" w14:textId="7777777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FA34" w14:textId="77777777" w:rsidR="00222F68" w:rsidRDefault="00222F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7381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1B2A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我司有茂名滨海新区西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葛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驿站灯光亮化设备采购项目需要进行公开招标工作，项目为货物类招标项目。为做好招标流程，现阶段公开向社会遴选该项目的招标代理单位。本项目的代理服务费报价形式以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下浮率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方式报价，实际产生代理服务费由项目实际中标单位支付，支付的金额</w:t>
            </w:r>
            <w:r>
              <w:rPr>
                <w:rFonts w:ascii="宋体" w:eastAsia="宋体" w:hAnsi="宋体" w:cs="仿宋"/>
                <w:sz w:val="24"/>
                <w:szCs w:val="24"/>
              </w:rPr>
              <w:t>=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实际中标金额参照招标代理服务收费管理暂行办法</w:t>
            </w:r>
            <w:r>
              <w:rPr>
                <w:rFonts w:ascii="宋体" w:eastAsia="宋体" w:hAnsi="宋体" w:cs="仿宋"/>
                <w:sz w:val="24"/>
                <w:szCs w:val="24"/>
              </w:rPr>
              <w:t>[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计价格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［</w:t>
            </w:r>
            <w:r>
              <w:rPr>
                <w:rFonts w:ascii="宋体" w:eastAsia="宋体" w:hAnsi="宋体" w:cs="仿宋"/>
                <w:sz w:val="24"/>
                <w:szCs w:val="24"/>
              </w:rPr>
              <w:t>2002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］</w:t>
            </w:r>
            <w:r>
              <w:rPr>
                <w:rFonts w:ascii="宋体" w:eastAsia="宋体" w:hAnsi="宋体" w:cs="仿宋"/>
                <w:sz w:val="24"/>
                <w:szCs w:val="24"/>
              </w:rPr>
              <w:t>1980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仿宋"/>
                <w:sz w:val="24"/>
                <w:szCs w:val="24"/>
              </w:rPr>
              <w:t>]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所得的招标代理服务费</w:t>
            </w:r>
            <w:r>
              <w:rPr>
                <w:rFonts w:ascii="宋体" w:eastAsia="宋体" w:hAnsi="宋体" w:cs="仿宋"/>
                <w:sz w:val="24"/>
                <w:szCs w:val="24"/>
              </w:rPr>
              <w:t>*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1-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下浮率）。</w:t>
            </w:r>
          </w:p>
        </w:tc>
      </w:tr>
      <w:tr w:rsidR="00222F68" w14:paraId="4CEB5D59" w14:textId="77777777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2C88" w14:textId="77777777" w:rsidR="00222F68" w:rsidRDefault="00222F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4D7F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F725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21C249DE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1）编制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招标</w:t>
            </w:r>
            <w:r>
              <w:rPr>
                <w:rFonts w:ascii="宋体" w:eastAsia="宋体" w:hAnsi="宋体" w:cs="仿宋"/>
                <w:sz w:val="24"/>
                <w:szCs w:val="24"/>
              </w:rPr>
              <w:t>文件，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把控招标</w:t>
            </w:r>
            <w:r>
              <w:rPr>
                <w:rFonts w:ascii="宋体" w:eastAsia="宋体" w:hAnsi="宋体" w:cs="仿宋"/>
                <w:sz w:val="24"/>
                <w:szCs w:val="24"/>
              </w:rPr>
              <w:t>文件质量；</w:t>
            </w:r>
          </w:p>
          <w:p w14:paraId="35989434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397A5E77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2686D153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1D192BAE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69AD7379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6）整理招标过程资料；</w:t>
            </w:r>
          </w:p>
          <w:p w14:paraId="3E33CAD0" w14:textId="77777777" w:rsidR="00222F68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7）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招标</w:t>
            </w:r>
            <w:r>
              <w:rPr>
                <w:rFonts w:ascii="宋体" w:eastAsia="宋体" w:hAnsi="宋体" w:cs="仿宋"/>
                <w:sz w:val="24"/>
                <w:szCs w:val="24"/>
              </w:rPr>
              <w:t>过程中需要配合其他相关工作。</w:t>
            </w:r>
          </w:p>
          <w:p w14:paraId="63F86FF1" w14:textId="77777777" w:rsidR="00222F68" w:rsidRDefault="0000000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222F68" w14:paraId="02D4DE71" w14:textId="77777777">
        <w:trPr>
          <w:gridAfter w:val="1"/>
          <w:wAfter w:w="317" w:type="dxa"/>
          <w:trHeight w:val="664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F47" w14:textId="77777777" w:rsidR="00222F68" w:rsidRDefault="00222F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6FBA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1300" w14:textId="77777777" w:rsidR="00222F68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222F68" w14:paraId="7C33A6AD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36D8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D33D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A2AE" w14:textId="29A37ADD" w:rsidR="00222F68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本项目以报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的方式，报价人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须综合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考虑各类费用。本函请于2025年9月1</w:t>
            </w:r>
            <w:r w:rsidR="00272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:rsidR="00222F68" w14:paraId="28F16FB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743" w14:textId="77777777" w:rsidR="00222F68" w:rsidRDefault="00222F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BE77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342E" w14:textId="77777777" w:rsidR="00222F68" w:rsidRDefault="00000000">
            <w:pPr>
              <w:widowControl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茂名滨海新区西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葛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>驿站灯光亮化设备采购项目</w:t>
            </w:r>
          </w:p>
          <w:p w14:paraId="51A7AF00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222F68" w14:paraId="5A78A365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80DD" w14:textId="77777777" w:rsidR="00222F68" w:rsidRDefault="00222F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7486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3B82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22F68" w14:paraId="6C806AB1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A3B" w14:textId="77777777" w:rsidR="00222F68" w:rsidRDefault="00222F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B2E4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BF87" w14:textId="77777777" w:rsidR="00222F68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222F68" w14:paraId="463B8A2E" w14:textId="77777777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018A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BAB6" w14:textId="77777777" w:rsidR="00222F68" w:rsidRDefault="00222F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BF11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DF0B" w14:textId="77777777" w:rsidR="00222F68" w:rsidRDefault="00222F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22F68" w14:paraId="711F4D12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530D0BD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CC4CE2E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26ADBA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7E38B84" w14:textId="77777777" w:rsidR="00222F68" w:rsidRDefault="00222F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7F6C23B6" w14:textId="77777777" w:rsidR="00222F68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72A2F85F" w14:textId="77777777" w:rsidR="00222F68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222F68" w14:paraId="488C88CA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58DC8F6B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076DAA8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AAF3042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616E597B" w14:textId="77777777" w:rsidR="00222F68" w:rsidRDefault="00222F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8339319" w14:textId="77777777" w:rsidR="00222F68" w:rsidRDefault="00222F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DDB038D" w14:textId="77777777" w:rsidR="00222F68" w:rsidRDefault="00222F6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56244589" w14:textId="77777777" w:rsidR="00222F68" w:rsidRDefault="00000000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年  月  日</w:t>
            </w:r>
          </w:p>
        </w:tc>
      </w:tr>
    </w:tbl>
    <w:p w14:paraId="52687610" w14:textId="77777777" w:rsidR="00222F68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附件2：综合评分表</w:t>
      </w:r>
    </w:p>
    <w:tbl>
      <w:tblPr>
        <w:tblW w:w="8306" w:type="dxa"/>
        <w:tblInd w:w="-5" w:type="dxa"/>
        <w:tblLook w:val="04A0" w:firstRow="1" w:lastRow="0" w:firstColumn="1" w:lastColumn="0" w:noHBand="0" w:noVBand="1"/>
      </w:tblPr>
      <w:tblGrid>
        <w:gridCol w:w="509"/>
        <w:gridCol w:w="1059"/>
        <w:gridCol w:w="824"/>
        <w:gridCol w:w="818"/>
        <w:gridCol w:w="4874"/>
        <w:gridCol w:w="222"/>
      </w:tblGrid>
      <w:tr w:rsidR="00222F68" w14:paraId="65901CB3" w14:textId="77777777">
        <w:trPr>
          <w:gridAfter w:val="1"/>
          <w:wAfter w:w="222" w:type="dxa"/>
          <w:trHeight w:val="1521"/>
        </w:trPr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9A6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《茂名滨海新区西葛驿站灯光亮化设备采购项目》招标代理服务遴选综合评分表</w:t>
            </w:r>
          </w:p>
        </w:tc>
      </w:tr>
      <w:tr w:rsidR="00222F68" w14:paraId="5D1713AC" w14:textId="77777777">
        <w:trPr>
          <w:gridAfter w:val="1"/>
          <w:wAfter w:w="222" w:type="dxa"/>
          <w:trHeight w:val="741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E18E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F51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分类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47E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3F76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4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4BF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</w:tr>
      <w:tr w:rsidR="00222F68" w14:paraId="54086F12" w14:textId="77777777">
        <w:trPr>
          <w:trHeight w:val="109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7D8" w14:textId="77777777" w:rsidR="00222F68" w:rsidRDefault="00222F6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02A" w14:textId="77777777" w:rsidR="00222F68" w:rsidRDefault="00222F6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4CD" w14:textId="77777777" w:rsidR="00222F68" w:rsidRDefault="00222F6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97E" w14:textId="77777777" w:rsidR="00222F68" w:rsidRDefault="00222F6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BA1" w14:textId="77777777" w:rsidR="00222F68" w:rsidRDefault="00222F68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455B2" w14:textId="77777777" w:rsidR="00222F68" w:rsidRDefault="00222F6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2F68" w14:paraId="5D40CA38" w14:textId="77777777">
        <w:trPr>
          <w:trHeight w:val="156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E479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51E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商务部分（40分）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AD9A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企业业绩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AE49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E8FC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自2022年1月1日起，独立完成中标金额超过300万元的货物类代理业务的，每提供一项得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分，最高得15分。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（提供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中标结果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公告截图，不提供不得分）</w:t>
            </w:r>
          </w:p>
        </w:tc>
        <w:tc>
          <w:tcPr>
            <w:tcW w:w="222" w:type="dxa"/>
            <w:vAlign w:val="center"/>
          </w:tcPr>
          <w:p w14:paraId="55F2C372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2F68" w14:paraId="13161C11" w14:textId="77777777">
        <w:trPr>
          <w:trHeight w:val="124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9FD0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D64" w14:textId="77777777" w:rsidR="00222F68" w:rsidRDefault="00222F6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F352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企业认证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8381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C93A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投标人具有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省级或以上政府采购协会会员单位的（有效期内），得4分；</w:t>
            </w:r>
          </w:p>
          <w:p w14:paraId="160951DF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投标人具有省级或以上招投标行业协会招标代理信用评价AA级或以上的，得4分；</w:t>
            </w:r>
          </w:p>
        </w:tc>
        <w:tc>
          <w:tcPr>
            <w:tcW w:w="222" w:type="dxa"/>
            <w:vAlign w:val="center"/>
          </w:tcPr>
          <w:p w14:paraId="041775FD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2F68" w14:paraId="33BB47E9" w14:textId="77777777">
        <w:trPr>
          <w:trHeight w:val="124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71A5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ACFE" w14:textId="77777777" w:rsidR="00222F68" w:rsidRDefault="00222F6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753F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团队实力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DE16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0A80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拟派项目负责人具有招标师证书的，得3分；</w:t>
            </w:r>
          </w:p>
          <w:p w14:paraId="4D0EB08F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拟派项目组人员具有中级或以上职称的，每人得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分，最高得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（提供证书复印件，不提供不得分）</w:t>
            </w:r>
          </w:p>
        </w:tc>
        <w:tc>
          <w:tcPr>
            <w:tcW w:w="222" w:type="dxa"/>
            <w:vAlign w:val="center"/>
          </w:tcPr>
          <w:p w14:paraId="47982B20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2F68" w14:paraId="3057370A" w14:textId="77777777">
        <w:trPr>
          <w:trHeight w:val="218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94F4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3047" w14:textId="77777777" w:rsidR="00222F68" w:rsidRDefault="00222F6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F340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服务便利性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C7F9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809D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投标人在茂名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市区域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内注册或设有分支机构的，且办公场地200平方米及以上的得10分，办公场地100平方米-200平方米（不含）的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5分。办公场地不到100平方米的不得分。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（注：提供产权证明（或租赁合同）复印件。)</w:t>
            </w:r>
          </w:p>
        </w:tc>
        <w:tc>
          <w:tcPr>
            <w:tcW w:w="222" w:type="dxa"/>
            <w:vAlign w:val="center"/>
          </w:tcPr>
          <w:p w14:paraId="40D7C2C1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2F68" w14:paraId="6AD7A6D9" w14:textId="77777777">
        <w:trPr>
          <w:trHeight w:val="1248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E734B4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E76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技术部分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（30分）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D33D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企业服务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9410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B1FE6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对投标人提供的代理服务整体方案，项目质量保证措施，服务流程等方面，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20-30分，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良得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10-20分，一般得5-10分，较差得0-5分。</w:t>
            </w:r>
          </w:p>
        </w:tc>
        <w:tc>
          <w:tcPr>
            <w:tcW w:w="222" w:type="dxa"/>
            <w:vAlign w:val="center"/>
          </w:tcPr>
          <w:p w14:paraId="29B39E96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2F68" w14:paraId="53246E8D" w14:textId="77777777">
        <w:trPr>
          <w:trHeight w:val="15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28C22C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AE0F31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报价部分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（30分）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925C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98CE" w14:textId="77777777" w:rsidR="00222F68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F851" w14:textId="77777777" w:rsidR="00222F68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投标报价得分＝（评标基准价/投标报价）×30【注：满足遴选公告要求且报价最低的投标报价为评标基准价，评标基准价最低为招标上限价的50%。】（最高得30分）</w:t>
            </w:r>
          </w:p>
        </w:tc>
        <w:tc>
          <w:tcPr>
            <w:tcW w:w="222" w:type="dxa"/>
            <w:vAlign w:val="center"/>
          </w:tcPr>
          <w:p w14:paraId="7BED2153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2F68" w14:paraId="12430C20" w14:textId="77777777">
        <w:trPr>
          <w:trHeight w:val="939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0BBD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1672" w14:textId="77777777" w:rsidR="00222F68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E382" w14:textId="77777777" w:rsidR="00222F68" w:rsidRDefault="00222F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vAlign w:val="center"/>
          </w:tcPr>
          <w:p w14:paraId="774AF918" w14:textId="77777777" w:rsidR="00222F68" w:rsidRDefault="00222F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C8624FF" w14:textId="77777777" w:rsidR="00222F68" w:rsidRDefault="00222F68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222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HarmonyOS Sans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Noto Serif CJK JP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汉仪仿宋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OWRhNjJiNzkzMDQwN2VkNzE5YmI0ZjFjOTk2YjgifQ=="/>
  </w:docVars>
  <w:rsids>
    <w:rsidRoot w:val="0016559C"/>
    <w:rsid w:val="96FF3E5C"/>
    <w:rsid w:val="FFDF9A32"/>
    <w:rsid w:val="000101E9"/>
    <w:rsid w:val="00013213"/>
    <w:rsid w:val="00026EC4"/>
    <w:rsid w:val="00032D49"/>
    <w:rsid w:val="00033EE2"/>
    <w:rsid w:val="000345F1"/>
    <w:rsid w:val="000948FD"/>
    <w:rsid w:val="00094D18"/>
    <w:rsid w:val="000A3395"/>
    <w:rsid w:val="000A6621"/>
    <w:rsid w:val="000B2AAD"/>
    <w:rsid w:val="000C323B"/>
    <w:rsid w:val="000E1F7A"/>
    <w:rsid w:val="00101E86"/>
    <w:rsid w:val="00117743"/>
    <w:rsid w:val="00134883"/>
    <w:rsid w:val="00134D39"/>
    <w:rsid w:val="00136B3F"/>
    <w:rsid w:val="00136B7E"/>
    <w:rsid w:val="0016559C"/>
    <w:rsid w:val="00191715"/>
    <w:rsid w:val="001B150E"/>
    <w:rsid w:val="001C0D23"/>
    <w:rsid w:val="001C581E"/>
    <w:rsid w:val="001D4F24"/>
    <w:rsid w:val="001D7BC5"/>
    <w:rsid w:val="001E57AD"/>
    <w:rsid w:val="0021440E"/>
    <w:rsid w:val="00214B14"/>
    <w:rsid w:val="00222F68"/>
    <w:rsid w:val="00223289"/>
    <w:rsid w:val="002459CD"/>
    <w:rsid w:val="00245E2B"/>
    <w:rsid w:val="00255C74"/>
    <w:rsid w:val="00264F58"/>
    <w:rsid w:val="0027237F"/>
    <w:rsid w:val="0028792B"/>
    <w:rsid w:val="00293AC8"/>
    <w:rsid w:val="002B27E4"/>
    <w:rsid w:val="002B3589"/>
    <w:rsid w:val="002C2AA2"/>
    <w:rsid w:val="003068EA"/>
    <w:rsid w:val="00333BD2"/>
    <w:rsid w:val="00354B10"/>
    <w:rsid w:val="0035775C"/>
    <w:rsid w:val="00375EE1"/>
    <w:rsid w:val="00397B2B"/>
    <w:rsid w:val="003D275F"/>
    <w:rsid w:val="003D6160"/>
    <w:rsid w:val="003E1BCA"/>
    <w:rsid w:val="003E232C"/>
    <w:rsid w:val="003E73D7"/>
    <w:rsid w:val="003E7ECE"/>
    <w:rsid w:val="0044069F"/>
    <w:rsid w:val="004474DE"/>
    <w:rsid w:val="004553E7"/>
    <w:rsid w:val="0045685E"/>
    <w:rsid w:val="00465234"/>
    <w:rsid w:val="00472951"/>
    <w:rsid w:val="00473E13"/>
    <w:rsid w:val="00480B33"/>
    <w:rsid w:val="00495581"/>
    <w:rsid w:val="004A238B"/>
    <w:rsid w:val="004A4371"/>
    <w:rsid w:val="004B2CA5"/>
    <w:rsid w:val="005709D3"/>
    <w:rsid w:val="00577FC2"/>
    <w:rsid w:val="005826A9"/>
    <w:rsid w:val="00587D49"/>
    <w:rsid w:val="00591A7B"/>
    <w:rsid w:val="005B1941"/>
    <w:rsid w:val="005C3F68"/>
    <w:rsid w:val="005C5F43"/>
    <w:rsid w:val="005C6ECD"/>
    <w:rsid w:val="005D5C4F"/>
    <w:rsid w:val="005E6002"/>
    <w:rsid w:val="006059AE"/>
    <w:rsid w:val="00623E65"/>
    <w:rsid w:val="00674459"/>
    <w:rsid w:val="00675847"/>
    <w:rsid w:val="00682DBB"/>
    <w:rsid w:val="006B1DC9"/>
    <w:rsid w:val="006C124A"/>
    <w:rsid w:val="006D38A9"/>
    <w:rsid w:val="006E22CF"/>
    <w:rsid w:val="006E5C15"/>
    <w:rsid w:val="006F735C"/>
    <w:rsid w:val="006F73D7"/>
    <w:rsid w:val="00710831"/>
    <w:rsid w:val="00710FC6"/>
    <w:rsid w:val="007128D4"/>
    <w:rsid w:val="00713AA7"/>
    <w:rsid w:val="00733122"/>
    <w:rsid w:val="00736597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A22CE"/>
    <w:rsid w:val="007B33EC"/>
    <w:rsid w:val="007B548D"/>
    <w:rsid w:val="007E64FC"/>
    <w:rsid w:val="00806F6F"/>
    <w:rsid w:val="00820A20"/>
    <w:rsid w:val="008342EF"/>
    <w:rsid w:val="0084242A"/>
    <w:rsid w:val="00843B0C"/>
    <w:rsid w:val="0084631E"/>
    <w:rsid w:val="00847A9E"/>
    <w:rsid w:val="008511A0"/>
    <w:rsid w:val="008533DD"/>
    <w:rsid w:val="00884454"/>
    <w:rsid w:val="0089496D"/>
    <w:rsid w:val="008A4361"/>
    <w:rsid w:val="008A6794"/>
    <w:rsid w:val="008C03E6"/>
    <w:rsid w:val="008C4520"/>
    <w:rsid w:val="008C5595"/>
    <w:rsid w:val="008C6FF8"/>
    <w:rsid w:val="00922E93"/>
    <w:rsid w:val="00925BA1"/>
    <w:rsid w:val="00926360"/>
    <w:rsid w:val="0093254D"/>
    <w:rsid w:val="00945586"/>
    <w:rsid w:val="00950BC0"/>
    <w:rsid w:val="009555DE"/>
    <w:rsid w:val="00956793"/>
    <w:rsid w:val="00961BEA"/>
    <w:rsid w:val="009631DC"/>
    <w:rsid w:val="009810E6"/>
    <w:rsid w:val="00982FDA"/>
    <w:rsid w:val="0098409C"/>
    <w:rsid w:val="00993675"/>
    <w:rsid w:val="009C0450"/>
    <w:rsid w:val="009C1D2B"/>
    <w:rsid w:val="009F746C"/>
    <w:rsid w:val="00A16FCB"/>
    <w:rsid w:val="00A211AB"/>
    <w:rsid w:val="00A43243"/>
    <w:rsid w:val="00A65180"/>
    <w:rsid w:val="00A652D2"/>
    <w:rsid w:val="00A75A10"/>
    <w:rsid w:val="00A85A63"/>
    <w:rsid w:val="00A86D97"/>
    <w:rsid w:val="00A96D97"/>
    <w:rsid w:val="00A96F5D"/>
    <w:rsid w:val="00AA6964"/>
    <w:rsid w:val="00AA729A"/>
    <w:rsid w:val="00AE5862"/>
    <w:rsid w:val="00AF3B2F"/>
    <w:rsid w:val="00AF46AE"/>
    <w:rsid w:val="00B04F07"/>
    <w:rsid w:val="00B340FF"/>
    <w:rsid w:val="00B34CB4"/>
    <w:rsid w:val="00B524FB"/>
    <w:rsid w:val="00B64CD0"/>
    <w:rsid w:val="00B8026E"/>
    <w:rsid w:val="00B930DB"/>
    <w:rsid w:val="00BA78AE"/>
    <w:rsid w:val="00BB5495"/>
    <w:rsid w:val="00BD0854"/>
    <w:rsid w:val="00BD7463"/>
    <w:rsid w:val="00BE17AB"/>
    <w:rsid w:val="00BE29ED"/>
    <w:rsid w:val="00BF4A41"/>
    <w:rsid w:val="00C02E24"/>
    <w:rsid w:val="00C17FB3"/>
    <w:rsid w:val="00C21F33"/>
    <w:rsid w:val="00C2202F"/>
    <w:rsid w:val="00C346BC"/>
    <w:rsid w:val="00C40137"/>
    <w:rsid w:val="00C61AEE"/>
    <w:rsid w:val="00C62B68"/>
    <w:rsid w:val="00C750A6"/>
    <w:rsid w:val="00C75ED2"/>
    <w:rsid w:val="00C848E9"/>
    <w:rsid w:val="00CC669D"/>
    <w:rsid w:val="00CD508A"/>
    <w:rsid w:val="00CE3595"/>
    <w:rsid w:val="00CE62DD"/>
    <w:rsid w:val="00CF4CC8"/>
    <w:rsid w:val="00D0008C"/>
    <w:rsid w:val="00D01D36"/>
    <w:rsid w:val="00D01F64"/>
    <w:rsid w:val="00D13228"/>
    <w:rsid w:val="00D30623"/>
    <w:rsid w:val="00D36E79"/>
    <w:rsid w:val="00D51DEB"/>
    <w:rsid w:val="00D76253"/>
    <w:rsid w:val="00D777A6"/>
    <w:rsid w:val="00D86061"/>
    <w:rsid w:val="00D9787E"/>
    <w:rsid w:val="00DA01E5"/>
    <w:rsid w:val="00DA1A8E"/>
    <w:rsid w:val="00DE0DE9"/>
    <w:rsid w:val="00DE6C9E"/>
    <w:rsid w:val="00E00C09"/>
    <w:rsid w:val="00E13EA6"/>
    <w:rsid w:val="00E24EA5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35C6B10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A9151A8"/>
    <w:rsid w:val="5BB26726"/>
    <w:rsid w:val="60291AE5"/>
    <w:rsid w:val="605D6E26"/>
    <w:rsid w:val="61601DAF"/>
    <w:rsid w:val="638A3118"/>
    <w:rsid w:val="653611F1"/>
    <w:rsid w:val="654042C5"/>
    <w:rsid w:val="67B32B26"/>
    <w:rsid w:val="67EF5014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7D22E"/>
  <w15:docId w15:val="{90794904-DCFE-49F5-A731-D8937622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20</cp:revision>
  <dcterms:created xsi:type="dcterms:W3CDTF">2025-03-07T09:45:00Z</dcterms:created>
  <dcterms:modified xsi:type="dcterms:W3CDTF">2025-09-16T09:06:00Z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2052-12.9.0.22443</vt:lpwstr>
  </property>
  <property fmtid="{D5CDD505-2E9C-101B-9397-08002B2CF9AE}" pid="3" name="ICV">
    <vt:lpwstr>F6F78F5971289C174E5AC868A1A3BF7E_43</vt:lpwstr>
  </property>
</Properties>
</file>