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03FA">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关于公开遴选“西葛粤游驿站”</w:t>
      </w:r>
      <w:r>
        <w:rPr>
          <w:rFonts w:hint="eastAsia" w:ascii="方正小标宋简体" w:eastAsia="方正小标宋简体"/>
          <w:spacing w:val="-20"/>
          <w:sz w:val="44"/>
          <w:szCs w:val="44"/>
          <w:lang w:eastAsia="zh-CN"/>
        </w:rPr>
        <w:t>、“</w:t>
      </w:r>
      <w:r>
        <w:rPr>
          <w:rFonts w:hint="eastAsia" w:ascii="方正小标宋简体" w:eastAsia="方正小标宋简体"/>
          <w:spacing w:val="-20"/>
          <w:sz w:val="44"/>
          <w:szCs w:val="44"/>
        </w:rPr>
        <w:t>西葛驿站好心书吧”项目</w:t>
      </w:r>
      <w:r>
        <w:rPr>
          <w:rFonts w:hint="eastAsia" w:ascii="方正小标宋简体" w:eastAsia="方正小标宋简体"/>
          <w:spacing w:val="-20"/>
          <w:sz w:val="44"/>
          <w:szCs w:val="44"/>
          <w:lang w:val="en-US" w:eastAsia="zh-CN"/>
        </w:rPr>
        <w:t>代理单位</w:t>
      </w:r>
      <w:r>
        <w:rPr>
          <w:rFonts w:hint="eastAsia" w:ascii="方正小标宋简体" w:eastAsia="方正小标宋简体"/>
          <w:spacing w:val="-20"/>
          <w:sz w:val="44"/>
          <w:szCs w:val="44"/>
        </w:rPr>
        <w:t>的公告</w:t>
      </w:r>
    </w:p>
    <w:p w14:paraId="6B4849C4">
      <w:pPr>
        <w:spacing w:line="600" w:lineRule="exact"/>
        <w:rPr>
          <w:rFonts w:hint="eastAsia" w:ascii="仿宋_GB2312" w:eastAsia="仿宋_GB2312"/>
          <w:sz w:val="32"/>
          <w:szCs w:val="32"/>
        </w:rPr>
      </w:pPr>
    </w:p>
    <w:p w14:paraId="18BC8BE9">
      <w:pPr>
        <w:spacing w:line="600" w:lineRule="exact"/>
        <w:rPr>
          <w:rFonts w:hint="eastAsia" w:ascii="仿宋_GB2312" w:eastAsia="仿宋_GB2312"/>
          <w:sz w:val="32"/>
          <w:szCs w:val="32"/>
        </w:rPr>
      </w:pPr>
      <w:r>
        <w:rPr>
          <w:rFonts w:hint="eastAsia" w:ascii="仿宋_GB2312" w:eastAsia="仿宋_GB2312"/>
          <w:sz w:val="32"/>
          <w:szCs w:val="32"/>
        </w:rPr>
        <w:t>各单位：</w:t>
      </w:r>
    </w:p>
    <w:p w14:paraId="194A40D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w:t>
      </w:r>
      <w:r>
        <w:rPr>
          <w:rFonts w:hint="eastAsia" w:ascii="仿宋_GB2312" w:eastAsia="仿宋_GB2312"/>
          <w:sz w:val="32"/>
          <w:szCs w:val="32"/>
          <w:lang w:eastAsia="zh-CN"/>
        </w:rPr>
        <w:t>“广东粤游驿站建设-西葛粤游驿站”、“</w:t>
      </w:r>
      <w:r>
        <w:rPr>
          <w:rFonts w:hint="eastAsia" w:ascii="仿宋_GB2312" w:eastAsia="仿宋_GB2312"/>
          <w:sz w:val="32"/>
          <w:szCs w:val="32"/>
        </w:rPr>
        <w:t>公共文化新空间建设-茂名滨海新区西葛驿站好心书吧”项目需要</w:t>
      </w:r>
      <w:r>
        <w:rPr>
          <w:rFonts w:hint="eastAsia" w:ascii="仿宋_GB2312" w:eastAsia="仿宋_GB2312"/>
          <w:sz w:val="32"/>
          <w:szCs w:val="32"/>
          <w:lang w:val="en-US" w:eastAsia="zh-CN"/>
        </w:rPr>
        <w:t>采购招投标代理服务单位</w:t>
      </w:r>
      <w:r>
        <w:rPr>
          <w:rFonts w:hint="eastAsia" w:ascii="仿宋_GB2312" w:eastAsia="仿宋_GB2312"/>
          <w:sz w:val="32"/>
          <w:szCs w:val="32"/>
        </w:rPr>
        <w:t>。现阶段公开向社会遴选该项目的招</w:t>
      </w:r>
      <w:r>
        <w:rPr>
          <w:rFonts w:hint="eastAsia" w:ascii="仿宋_GB2312" w:eastAsia="仿宋_GB2312"/>
          <w:sz w:val="32"/>
          <w:szCs w:val="32"/>
          <w:lang w:val="en-US" w:eastAsia="zh-CN"/>
        </w:rPr>
        <w:t>投</w:t>
      </w:r>
      <w:r>
        <w:rPr>
          <w:rFonts w:hint="eastAsia" w:ascii="仿宋_GB2312" w:eastAsia="仿宋_GB2312"/>
          <w:sz w:val="32"/>
          <w:szCs w:val="32"/>
        </w:rPr>
        <w:t>标代理单位。报名格式及要求详见附件，请各意向单位于2025年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1DCD39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1EE8D39C">
      <w:pPr>
        <w:spacing w:line="600" w:lineRule="exact"/>
        <w:ind w:firstLine="640" w:firstLineChars="200"/>
        <w:rPr>
          <w:rFonts w:hint="eastAsia" w:ascii="仿宋_GB2312" w:eastAsia="仿宋_GB2312"/>
          <w:sz w:val="32"/>
          <w:szCs w:val="32"/>
        </w:rPr>
      </w:pPr>
    </w:p>
    <w:p w14:paraId="34DF5CBB">
      <w:pPr>
        <w:spacing w:line="600" w:lineRule="exact"/>
        <w:ind w:left="2238" w:leftChars="304" w:hanging="1600" w:hangingChars="500"/>
        <w:rPr>
          <w:rFonts w:hint="eastAsia" w:ascii="仿宋_GB2312" w:eastAsia="仿宋_GB2312"/>
          <w:sz w:val="32"/>
          <w:szCs w:val="32"/>
        </w:rPr>
      </w:pPr>
      <w:r>
        <w:rPr>
          <w:rFonts w:hint="eastAsia" w:ascii="仿宋_GB2312" w:eastAsia="仿宋_GB2312"/>
          <w:sz w:val="32"/>
          <w:szCs w:val="32"/>
        </w:rPr>
        <w:t>附件：1.公开遴选报名表</w:t>
      </w:r>
    </w:p>
    <w:p w14:paraId="57CB68E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3F1674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2CB50C08">
      <w:pPr>
        <w:spacing w:line="600" w:lineRule="exact"/>
        <w:ind w:left="1559" w:leftChars="270" w:hanging="992" w:hangingChars="310"/>
        <w:rPr>
          <w:rFonts w:hint="eastAsia" w:ascii="仿宋_GB2312" w:eastAsia="仿宋_GB2312"/>
          <w:sz w:val="32"/>
          <w:szCs w:val="32"/>
        </w:rPr>
      </w:pPr>
    </w:p>
    <w:p w14:paraId="3B8BE84F">
      <w:pPr>
        <w:spacing w:line="600" w:lineRule="exact"/>
        <w:ind w:left="1559" w:leftChars="270" w:hanging="992" w:hangingChars="310"/>
        <w:rPr>
          <w:rFonts w:hint="eastAsia" w:ascii="仿宋_GB2312" w:eastAsia="仿宋_GB2312"/>
          <w:sz w:val="32"/>
          <w:szCs w:val="32"/>
        </w:rPr>
      </w:pPr>
    </w:p>
    <w:p w14:paraId="59A3CEB7">
      <w:pPr>
        <w:pStyle w:val="5"/>
        <w:keepNext w:val="0"/>
        <w:keepLines w:val="0"/>
        <w:widowControl/>
        <w:suppressLineNumbers w:val="0"/>
        <w:spacing w:before="0" w:beforeAutospacing="0" w:after="0" w:afterAutospacing="0"/>
        <w:ind w:left="0" w:right="0" w:firstLine="3520" w:firstLineChars="11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茂名滨海新城综合服务有限公司</w:t>
      </w:r>
    </w:p>
    <w:p w14:paraId="48EF23BA">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14:paraId="1CF9A358">
      <w:pPr>
        <w:widowControl/>
        <w:jc w:val="left"/>
        <w:rPr>
          <w:rFonts w:hint="eastAsia" w:ascii="仿宋_GB2312" w:eastAsia="仿宋_GB2312"/>
          <w:sz w:val="28"/>
          <w:szCs w:val="28"/>
        </w:rPr>
      </w:pPr>
    </w:p>
    <w:p w14:paraId="4F0D6A28">
      <w:pPr>
        <w:widowControl/>
        <w:jc w:val="left"/>
        <w:rPr>
          <w:rFonts w:hint="eastAsia" w:ascii="仿宋_GB2312" w:eastAsia="仿宋_GB2312"/>
          <w:sz w:val="28"/>
          <w:szCs w:val="28"/>
        </w:rPr>
      </w:pPr>
    </w:p>
    <w:p w14:paraId="14D518E6">
      <w:pPr>
        <w:widowControl/>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6"/>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1799C9F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374BF5AE">
            <w:pPr>
              <w:jc w:val="center"/>
              <w:rPr>
                <w:rFonts w:hint="eastAsia" w:ascii="方正小标宋简体" w:eastAsia="方正小标宋简体"/>
                <w:sz w:val="36"/>
                <w:szCs w:val="36"/>
              </w:rPr>
            </w:pPr>
            <w:r>
              <w:rPr>
                <w:rFonts w:hint="eastAsia" w:ascii="方正小标宋简体" w:eastAsia="方正小标宋简体"/>
                <w:sz w:val="36"/>
                <w:szCs w:val="36"/>
              </w:rPr>
              <w:t>公开遴选报名表</w:t>
            </w:r>
          </w:p>
        </w:tc>
      </w:tr>
      <w:tr w14:paraId="6AC9323C">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0EC960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日</w:t>
            </w:r>
          </w:p>
        </w:tc>
      </w:tr>
      <w:tr w14:paraId="3FDEF605">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46DB0EA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1F0D50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8CA4298">
            <w:pPr>
              <w:widowControl/>
              <w:jc w:val="left"/>
              <w:rPr>
                <w:rFonts w:hint="default" w:ascii="宋体" w:hAnsi="宋体" w:eastAsia="宋体" w:cs="仿宋"/>
                <w:sz w:val="24"/>
                <w:szCs w:val="24"/>
                <w:lang w:val="en-US" w:eastAsia="zh-CN"/>
              </w:rPr>
            </w:pPr>
            <w:r>
              <w:rPr>
                <w:rFonts w:hint="eastAsia" w:ascii="宋体" w:hAnsi="宋体" w:eastAsia="宋体" w:cs="仿宋"/>
                <w:sz w:val="24"/>
                <w:szCs w:val="24"/>
                <w:lang w:eastAsia="zh-CN"/>
              </w:rPr>
              <w:t>茂名滨海新城综合服务有限公司</w:t>
            </w:r>
            <w:r>
              <w:rPr>
                <w:rFonts w:hint="eastAsia" w:ascii="宋体" w:hAnsi="宋体" w:eastAsia="宋体" w:cs="仿宋"/>
                <w:sz w:val="24"/>
                <w:szCs w:val="24"/>
              </w:rPr>
              <w:t>“西葛粤游驿站”</w:t>
            </w:r>
            <w:r>
              <w:rPr>
                <w:rFonts w:hint="eastAsia" w:ascii="宋体" w:hAnsi="宋体" w:eastAsia="宋体" w:cs="仿宋"/>
                <w:sz w:val="24"/>
                <w:szCs w:val="24"/>
                <w:lang w:eastAsia="zh-CN"/>
              </w:rPr>
              <w:t>、“</w:t>
            </w:r>
            <w:r>
              <w:rPr>
                <w:rFonts w:hint="eastAsia" w:ascii="宋体" w:hAnsi="宋体" w:eastAsia="宋体" w:cs="仿宋"/>
                <w:sz w:val="24"/>
                <w:szCs w:val="24"/>
              </w:rPr>
              <w:t>西葛驿站好心书吧”招</w:t>
            </w:r>
            <w:r>
              <w:rPr>
                <w:rFonts w:hint="eastAsia" w:ascii="宋体" w:hAnsi="宋体" w:eastAsia="宋体" w:cs="仿宋"/>
                <w:sz w:val="24"/>
                <w:szCs w:val="24"/>
                <w:lang w:val="en-US" w:eastAsia="zh-CN"/>
              </w:rPr>
              <w:t>投标</w:t>
            </w:r>
            <w:r>
              <w:rPr>
                <w:rFonts w:hint="eastAsia" w:ascii="宋体" w:hAnsi="宋体" w:eastAsia="宋体" w:cs="仿宋"/>
                <w:sz w:val="24"/>
                <w:szCs w:val="24"/>
              </w:rPr>
              <w:t>标代理服务</w:t>
            </w:r>
            <w:r>
              <w:rPr>
                <w:rFonts w:hint="eastAsia" w:ascii="宋体" w:hAnsi="宋体" w:eastAsia="宋体" w:cs="仿宋"/>
                <w:sz w:val="24"/>
                <w:szCs w:val="24"/>
                <w:lang w:val="en-US" w:eastAsia="zh-CN"/>
              </w:rPr>
              <w:t>采购项目</w:t>
            </w:r>
          </w:p>
        </w:tc>
      </w:tr>
      <w:tr w14:paraId="415729B2">
        <w:tblPrEx>
          <w:tblCellMar>
            <w:top w:w="0" w:type="dxa"/>
            <w:left w:w="108" w:type="dxa"/>
            <w:bottom w:w="0" w:type="dxa"/>
            <w:right w:w="108" w:type="dxa"/>
          </w:tblCellMar>
        </w:tblPrEx>
        <w:trPr>
          <w:gridAfter w:val="1"/>
          <w:wAfter w:w="317" w:type="dxa"/>
          <w:trHeight w:val="703" w:hRule="atLeast"/>
          <w:jc w:val="center"/>
        </w:trPr>
        <w:tc>
          <w:tcPr>
            <w:tcW w:w="1273" w:type="dxa"/>
            <w:vMerge w:val="continue"/>
            <w:tcBorders>
              <w:left w:val="single" w:color="auto" w:sz="4" w:space="0"/>
              <w:right w:val="single" w:color="auto" w:sz="4" w:space="0"/>
            </w:tcBorders>
            <w:vAlign w:val="center"/>
          </w:tcPr>
          <w:p w14:paraId="42BED930">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8E5877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业主单位</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44B32F1">
            <w:pPr>
              <w:widowControl/>
              <w:rPr>
                <w:rFonts w:hint="eastAsia" w:ascii="宋体" w:hAnsi="宋体" w:eastAsia="宋体" w:cs="仿宋"/>
                <w:sz w:val="24"/>
                <w:szCs w:val="24"/>
              </w:rPr>
            </w:pPr>
            <w:r>
              <w:rPr>
                <w:rFonts w:hint="eastAsia" w:ascii="宋体" w:hAnsi="宋体" w:eastAsia="宋体" w:cs="仿宋"/>
                <w:sz w:val="24"/>
                <w:szCs w:val="24"/>
                <w:lang w:eastAsia="zh-CN"/>
              </w:rPr>
              <w:t>茂名滨海新城综合服务有限公司</w:t>
            </w:r>
          </w:p>
        </w:tc>
      </w:tr>
      <w:tr w14:paraId="66FE265E">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7BD25775">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20BB8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1DB5054">
            <w:pPr>
              <w:widowControl/>
              <w:rPr>
                <w:rFonts w:hint="eastAsia" w:ascii="宋体" w:hAnsi="宋体" w:eastAsia="宋体" w:cs="仿宋"/>
                <w:sz w:val="24"/>
                <w:szCs w:val="24"/>
              </w:rPr>
            </w:pPr>
            <w:r>
              <w:rPr>
                <w:rFonts w:hint="eastAsia" w:ascii="宋体" w:hAnsi="宋体" w:eastAsia="宋体" w:cs="仿宋"/>
                <w:sz w:val="24"/>
                <w:szCs w:val="24"/>
              </w:rPr>
              <w:t>为做好招</w:t>
            </w:r>
            <w:r>
              <w:rPr>
                <w:rFonts w:hint="eastAsia" w:ascii="宋体" w:hAnsi="宋体" w:eastAsia="宋体" w:cs="仿宋"/>
                <w:sz w:val="24"/>
                <w:szCs w:val="24"/>
                <w:lang w:val="en-US" w:eastAsia="zh-CN"/>
              </w:rPr>
              <w:t>投</w:t>
            </w:r>
            <w:r>
              <w:rPr>
                <w:rFonts w:hint="eastAsia" w:ascii="宋体" w:hAnsi="宋体" w:eastAsia="宋体" w:cs="仿宋"/>
                <w:sz w:val="24"/>
                <w:szCs w:val="24"/>
              </w:rPr>
              <w:t>标流程，现阶段公开向社会遴选该项目的招标代理单位。本项目的代理服务费报价形式以下浮率方式报价，支付的金额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lang w:val="en-US" w:eastAsia="zh-CN"/>
              </w:rPr>
              <w:t>投标</w:t>
            </w:r>
            <w:r>
              <w:rPr>
                <w:rFonts w:hint="eastAsia" w:ascii="宋体" w:hAnsi="宋体" w:eastAsia="宋体" w:cs="仿宋"/>
                <w:sz w:val="24"/>
                <w:szCs w:val="24"/>
              </w:rPr>
              <w:t>下浮率）。</w:t>
            </w:r>
          </w:p>
        </w:tc>
      </w:tr>
      <w:tr w14:paraId="301EF8FF">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4F90C80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2EE1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84F6D32">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446D8451">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lang w:val="en-US" w:eastAsia="zh-CN"/>
              </w:rPr>
              <w:t>投</w:t>
            </w:r>
            <w:r>
              <w:rPr>
                <w:rFonts w:hint="eastAsia" w:ascii="宋体" w:hAnsi="宋体" w:eastAsia="宋体" w:cs="仿宋"/>
                <w:sz w:val="24"/>
                <w:szCs w:val="24"/>
              </w:rPr>
              <w:t>标</w:t>
            </w:r>
            <w:r>
              <w:rPr>
                <w:rFonts w:ascii="宋体" w:hAnsi="宋体" w:eastAsia="宋体" w:cs="仿宋"/>
                <w:sz w:val="24"/>
                <w:szCs w:val="24"/>
              </w:rPr>
              <w:t>文件，</w:t>
            </w:r>
            <w:r>
              <w:rPr>
                <w:rFonts w:hint="eastAsia" w:ascii="宋体" w:hAnsi="宋体" w:eastAsia="宋体" w:cs="仿宋"/>
                <w:sz w:val="24"/>
                <w:szCs w:val="24"/>
              </w:rPr>
              <w:t>把控</w:t>
            </w:r>
            <w:r>
              <w:rPr>
                <w:rFonts w:hint="eastAsia" w:ascii="宋体" w:hAnsi="宋体" w:eastAsia="宋体" w:cs="仿宋"/>
                <w:sz w:val="24"/>
                <w:szCs w:val="24"/>
                <w:lang w:val="en-US" w:eastAsia="zh-CN"/>
              </w:rPr>
              <w:t>投</w:t>
            </w:r>
            <w:r>
              <w:rPr>
                <w:rFonts w:hint="eastAsia" w:ascii="宋体" w:hAnsi="宋体" w:eastAsia="宋体" w:cs="仿宋"/>
                <w:sz w:val="24"/>
                <w:szCs w:val="24"/>
              </w:rPr>
              <w:t>标</w:t>
            </w:r>
            <w:r>
              <w:rPr>
                <w:rFonts w:ascii="宋体" w:hAnsi="宋体" w:eastAsia="宋体" w:cs="仿宋"/>
                <w:sz w:val="24"/>
                <w:szCs w:val="24"/>
              </w:rPr>
              <w:t>文件质量；</w:t>
            </w:r>
          </w:p>
          <w:p w14:paraId="5A23165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lang w:val="en-US" w:eastAsia="zh-CN"/>
              </w:rPr>
              <w:t>按要求进行</w:t>
            </w:r>
            <w:r>
              <w:rPr>
                <w:rFonts w:ascii="宋体" w:hAnsi="宋体" w:eastAsia="宋体" w:cs="仿宋"/>
                <w:sz w:val="24"/>
                <w:szCs w:val="24"/>
              </w:rPr>
              <w:t>投标报名、资格审查；</w:t>
            </w:r>
          </w:p>
          <w:p w14:paraId="0A2C21D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w:t>
            </w:r>
            <w:r>
              <w:rPr>
                <w:rFonts w:hint="eastAsia" w:ascii="宋体" w:hAnsi="宋体" w:eastAsia="宋体" w:cs="仿宋"/>
                <w:sz w:val="24"/>
                <w:szCs w:val="24"/>
                <w:lang w:val="en-US" w:eastAsia="zh-CN"/>
              </w:rPr>
              <w:t>参加</w:t>
            </w:r>
            <w:r>
              <w:rPr>
                <w:rFonts w:ascii="宋体" w:hAnsi="宋体" w:eastAsia="宋体" w:cs="仿宋"/>
                <w:sz w:val="24"/>
                <w:szCs w:val="24"/>
              </w:rPr>
              <w:t>答疑会，整理答疑文件；</w:t>
            </w:r>
          </w:p>
          <w:p w14:paraId="1CE59F4A">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w:t>
            </w:r>
            <w:r>
              <w:rPr>
                <w:rFonts w:hint="eastAsia" w:ascii="宋体" w:hAnsi="宋体" w:eastAsia="宋体" w:cs="仿宋"/>
                <w:sz w:val="24"/>
                <w:szCs w:val="24"/>
                <w:lang w:val="en-US" w:eastAsia="zh-CN"/>
              </w:rPr>
              <w:t>参加</w:t>
            </w:r>
            <w:r>
              <w:rPr>
                <w:rFonts w:ascii="宋体" w:hAnsi="宋体" w:eastAsia="宋体" w:cs="仿宋"/>
                <w:sz w:val="24"/>
                <w:szCs w:val="24"/>
              </w:rPr>
              <w:t>开标和评标；</w:t>
            </w:r>
          </w:p>
          <w:p w14:paraId="337CD1F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5A794C4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w:t>
            </w:r>
            <w:r>
              <w:rPr>
                <w:rFonts w:hint="eastAsia" w:ascii="宋体" w:hAnsi="宋体" w:eastAsia="宋体" w:cs="仿宋"/>
                <w:sz w:val="24"/>
                <w:szCs w:val="24"/>
                <w:lang w:val="en-US" w:eastAsia="zh-CN"/>
              </w:rPr>
              <w:t>招投标</w:t>
            </w:r>
            <w:r>
              <w:rPr>
                <w:rFonts w:ascii="宋体" w:hAnsi="宋体" w:eastAsia="宋体" w:cs="仿宋"/>
                <w:sz w:val="24"/>
                <w:szCs w:val="24"/>
              </w:rPr>
              <w:t>标过程资料；</w:t>
            </w:r>
          </w:p>
          <w:p w14:paraId="2B4EBD2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383772D0">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57BDF62">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188393A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9CF4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2FC4A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05A66469">
        <w:tblPrEx>
          <w:tblCellMar>
            <w:top w:w="0" w:type="dxa"/>
            <w:left w:w="108" w:type="dxa"/>
            <w:bottom w:w="0" w:type="dxa"/>
            <w:right w:w="108" w:type="dxa"/>
          </w:tblCellMar>
        </w:tblPrEx>
        <w:trPr>
          <w:gridAfter w:val="1"/>
          <w:wAfter w:w="317" w:type="dxa"/>
          <w:trHeight w:val="1074"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63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5DCA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EE3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日17点前送达邮箱，邮箱地址：323431302@qq.com。</w:t>
            </w:r>
          </w:p>
        </w:tc>
      </w:tr>
      <w:tr w14:paraId="38E462D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E88358">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675F5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F20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3DE7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EE5554C">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B97F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AC1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0EB5183">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E4A7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76198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0E7E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4C1D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A424CE">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3DD6445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7CFF03D2">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C4498D3">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2ECFDA2">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88A03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9C3BAF5">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0C725B7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7EB0B89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35BA6475">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24944127">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6E543D4">
            <w:pPr>
              <w:widowControl/>
              <w:jc w:val="left"/>
              <w:rPr>
                <w:rFonts w:ascii="Times New Roman" w:hAnsi="Times New Roman" w:cs="Times New Roman"/>
                <w:kern w:val="0"/>
                <w:sz w:val="24"/>
                <w:szCs w:val="24"/>
              </w:rPr>
            </w:pPr>
          </w:p>
          <w:p w14:paraId="13B0DCB4">
            <w:pPr>
              <w:widowControl/>
              <w:jc w:val="left"/>
              <w:rPr>
                <w:rFonts w:ascii="Times New Roman" w:hAnsi="Times New Roman" w:cs="Times New Roman"/>
                <w:kern w:val="0"/>
                <w:sz w:val="24"/>
                <w:szCs w:val="24"/>
              </w:rPr>
            </w:pPr>
          </w:p>
          <w:p w14:paraId="1DA08330">
            <w:pPr>
              <w:widowControl/>
              <w:jc w:val="left"/>
              <w:rPr>
                <w:rFonts w:ascii="Times New Roman" w:hAnsi="Times New Roman" w:cs="Times New Roman"/>
                <w:kern w:val="0"/>
                <w:sz w:val="24"/>
                <w:szCs w:val="24"/>
              </w:rPr>
            </w:pPr>
          </w:p>
          <w:p w14:paraId="6F6A88A9">
            <w:pPr>
              <w:widowControl/>
              <w:jc w:val="left"/>
              <w:rPr>
                <w:rFonts w:hint="eastAsia" w:ascii="Times New Roman" w:hAnsi="Times New Roman" w:cs="Times New Roman"/>
                <w:kern w:val="0"/>
                <w:sz w:val="24"/>
                <w:szCs w:val="24"/>
              </w:rPr>
            </w:pPr>
          </w:p>
        </w:tc>
        <w:tc>
          <w:tcPr>
            <w:tcW w:w="4681" w:type="dxa"/>
            <w:gridSpan w:val="2"/>
            <w:shd w:val="clear" w:color="auto" w:fill="auto"/>
            <w:vAlign w:val="center"/>
          </w:tcPr>
          <w:p w14:paraId="58202FC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4DB4C8EA">
      <w:pPr>
        <w:rPr>
          <w:rFonts w:hint="eastAsia" w:ascii="仿宋_GB2312" w:eastAsia="仿宋_GB2312"/>
          <w:sz w:val="32"/>
          <w:szCs w:val="32"/>
        </w:rPr>
      </w:pPr>
      <w:r>
        <w:rPr>
          <w:rFonts w:hint="eastAsia" w:ascii="仿宋_GB2312" w:eastAsia="仿宋_GB2312"/>
          <w:sz w:val="32"/>
          <w:szCs w:val="32"/>
        </w:rPr>
        <w:br w:type="page"/>
      </w:r>
    </w:p>
    <w:p w14:paraId="638425E9">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6"/>
        <w:tblW w:w="8498" w:type="dxa"/>
        <w:jc w:val="center"/>
        <w:tblLayout w:type="fixed"/>
        <w:tblCellMar>
          <w:top w:w="56" w:type="dxa"/>
          <w:left w:w="96" w:type="dxa"/>
          <w:bottom w:w="56" w:type="dxa"/>
          <w:right w:w="96" w:type="dxa"/>
        </w:tblCellMar>
      </w:tblPr>
      <w:tblGrid>
        <w:gridCol w:w="673"/>
        <w:gridCol w:w="950"/>
        <w:gridCol w:w="612"/>
        <w:gridCol w:w="673"/>
        <w:gridCol w:w="5392"/>
        <w:gridCol w:w="198"/>
      </w:tblGrid>
      <w:tr w14:paraId="78E96DB7">
        <w:tblPrEx>
          <w:tblCellMar>
            <w:top w:w="56" w:type="dxa"/>
            <w:left w:w="96" w:type="dxa"/>
            <w:bottom w:w="56" w:type="dxa"/>
            <w:right w:w="96" w:type="dxa"/>
          </w:tblCellMar>
        </w:tblPrEx>
        <w:trPr>
          <w:gridAfter w:val="1"/>
          <w:wAfter w:w="198" w:type="dxa"/>
          <w:trHeight w:val="0" w:hRule="atLeast"/>
          <w:jc w:val="center"/>
        </w:trPr>
        <w:tc>
          <w:tcPr>
            <w:tcW w:w="950" w:type="dxa"/>
            <w:gridSpan w:val="2"/>
            <w:tcBorders>
              <w:top w:val="nil"/>
              <w:left w:val="nil"/>
              <w:bottom w:val="nil"/>
              <w:right w:val="nil"/>
            </w:tcBorders>
            <w:shd w:val="clear" w:color="auto" w:fill="auto"/>
            <w:noWrap/>
            <w:vAlign w:val="center"/>
          </w:tcPr>
          <w:p w14:paraId="08D5E7B2">
            <w:pPr>
              <w:widowControl/>
              <w:snapToGrid w:val="0"/>
              <w:jc w:val="left"/>
              <w:rPr>
                <w:rFonts w:hint="eastAsia" w:ascii="仿宋" w:hAnsi="仿宋" w:eastAsia="仿宋" w:cs="宋体"/>
                <w:b/>
                <w:bCs/>
                <w:color w:val="000000"/>
                <w:kern w:val="0"/>
                <w:sz w:val="24"/>
                <w:szCs w:val="24"/>
              </w:rPr>
            </w:pPr>
          </w:p>
        </w:tc>
        <w:tc>
          <w:tcPr>
            <w:tcW w:w="5392" w:type="dxa"/>
            <w:gridSpan w:val="3"/>
            <w:tcBorders>
              <w:top w:val="nil"/>
              <w:left w:val="nil"/>
              <w:bottom w:val="nil"/>
              <w:right w:val="nil"/>
            </w:tcBorders>
            <w:shd w:val="clear" w:color="auto" w:fill="auto"/>
            <w:noWrap/>
            <w:vAlign w:val="center"/>
          </w:tcPr>
          <w:p w14:paraId="41AAAEB9">
            <w:pPr>
              <w:widowControl/>
              <w:snapToGrid w:val="0"/>
              <w:jc w:val="left"/>
              <w:rPr>
                <w:rFonts w:hint="eastAsia" w:ascii="仿宋" w:hAnsi="仿宋" w:eastAsia="仿宋" w:cs="宋体"/>
                <w:b/>
                <w:bCs/>
                <w:color w:val="000000"/>
                <w:kern w:val="0"/>
                <w:sz w:val="22"/>
              </w:rPr>
            </w:pPr>
          </w:p>
        </w:tc>
      </w:tr>
      <w:tr w14:paraId="3B5FC378">
        <w:tblPrEx>
          <w:tblCellMar>
            <w:top w:w="56" w:type="dxa"/>
            <w:left w:w="96" w:type="dxa"/>
            <w:bottom w:w="56" w:type="dxa"/>
            <w:right w:w="96" w:type="dxa"/>
          </w:tblCellMar>
        </w:tblPrEx>
        <w:trPr>
          <w:gridAfter w:val="1"/>
          <w:wAfter w:w="198" w:type="dxa"/>
          <w:trHeight w:val="0" w:hRule="atLeast"/>
          <w:jc w:val="center"/>
        </w:trPr>
        <w:tc>
          <w:tcPr>
            <w:tcW w:w="53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32D66B">
            <w:pPr>
              <w:widowControl/>
              <w:snapToGrid w:val="0"/>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茂名滨海新城综合服务有限公司“西葛粤游驿站”、“西葛驿站好心书吧”招投标代理服务遴选</w:t>
            </w:r>
          </w:p>
          <w:p w14:paraId="4D4FBDA9">
            <w:pPr>
              <w:widowControl/>
              <w:snapToGrid w:val="0"/>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综合评分表</w:t>
            </w:r>
          </w:p>
        </w:tc>
      </w:tr>
      <w:tr w14:paraId="32E62BE3">
        <w:tblPrEx>
          <w:tblCellMar>
            <w:top w:w="56" w:type="dxa"/>
            <w:left w:w="96" w:type="dxa"/>
            <w:bottom w:w="56" w:type="dxa"/>
            <w:right w:w="96" w:type="dxa"/>
          </w:tblCellMar>
        </w:tblPrEx>
        <w:trPr>
          <w:gridAfter w:val="1"/>
          <w:wAfter w:w="198" w:type="dxa"/>
          <w:trHeight w:val="312" w:hRule="atLeast"/>
          <w:jc w:val="center"/>
        </w:trPr>
        <w:tc>
          <w:tcPr>
            <w:tcW w:w="673" w:type="dxa"/>
            <w:vMerge w:val="restart"/>
            <w:tcBorders>
              <w:top w:val="nil"/>
              <w:left w:val="single" w:color="auto" w:sz="4" w:space="0"/>
              <w:bottom w:val="single" w:color="auto" w:sz="4" w:space="0"/>
              <w:right w:val="single" w:color="auto" w:sz="4" w:space="0"/>
            </w:tcBorders>
            <w:shd w:val="clear" w:color="auto" w:fill="auto"/>
            <w:noWrap/>
            <w:vAlign w:val="center"/>
          </w:tcPr>
          <w:p w14:paraId="270D9F22">
            <w:pPr>
              <w:widowControl/>
              <w:snapToGri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950" w:type="dxa"/>
            <w:vMerge w:val="restart"/>
            <w:tcBorders>
              <w:top w:val="nil"/>
              <w:left w:val="single" w:color="auto" w:sz="4" w:space="0"/>
              <w:bottom w:val="single" w:color="auto" w:sz="4" w:space="0"/>
              <w:right w:val="single" w:color="auto" w:sz="4" w:space="0"/>
            </w:tcBorders>
            <w:shd w:val="clear" w:color="auto" w:fill="auto"/>
            <w:vAlign w:val="center"/>
          </w:tcPr>
          <w:p w14:paraId="52408DD9">
            <w:pPr>
              <w:widowControl/>
              <w:snapToGri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612" w:type="dxa"/>
            <w:vMerge w:val="restart"/>
            <w:tcBorders>
              <w:top w:val="nil"/>
              <w:left w:val="single" w:color="auto" w:sz="4" w:space="0"/>
              <w:bottom w:val="single" w:color="auto" w:sz="4" w:space="0"/>
              <w:right w:val="single" w:color="auto" w:sz="4" w:space="0"/>
            </w:tcBorders>
            <w:shd w:val="clear" w:color="auto" w:fill="auto"/>
            <w:vAlign w:val="center"/>
          </w:tcPr>
          <w:p w14:paraId="5D078752">
            <w:pPr>
              <w:widowControl/>
              <w:snapToGri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673" w:type="dxa"/>
            <w:vMerge w:val="restart"/>
            <w:tcBorders>
              <w:top w:val="nil"/>
              <w:left w:val="single" w:color="auto" w:sz="4" w:space="0"/>
              <w:bottom w:val="single" w:color="auto" w:sz="4" w:space="0"/>
              <w:right w:val="single" w:color="auto" w:sz="4" w:space="0"/>
            </w:tcBorders>
            <w:shd w:val="clear" w:color="auto" w:fill="auto"/>
            <w:noWrap/>
            <w:vAlign w:val="center"/>
          </w:tcPr>
          <w:p w14:paraId="71BB3F36">
            <w:pPr>
              <w:widowControl/>
              <w:snapToGri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5392" w:type="dxa"/>
            <w:vMerge w:val="restart"/>
            <w:tcBorders>
              <w:top w:val="nil"/>
              <w:left w:val="single" w:color="auto" w:sz="4" w:space="0"/>
              <w:bottom w:val="single" w:color="auto" w:sz="4" w:space="0"/>
              <w:right w:val="single" w:color="auto" w:sz="4" w:space="0"/>
            </w:tcBorders>
            <w:shd w:val="clear" w:color="auto" w:fill="auto"/>
            <w:vAlign w:val="center"/>
          </w:tcPr>
          <w:p w14:paraId="011C8EFD">
            <w:pPr>
              <w:widowControl/>
              <w:snapToGri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08D0C5CC">
        <w:tblPrEx>
          <w:tblCellMar>
            <w:top w:w="56" w:type="dxa"/>
            <w:left w:w="96" w:type="dxa"/>
            <w:bottom w:w="56" w:type="dxa"/>
            <w:right w:w="96" w:type="dxa"/>
          </w:tblCellMar>
        </w:tblPrEx>
        <w:trPr>
          <w:trHeight w:val="0" w:hRule="atLeast"/>
          <w:jc w:val="center"/>
        </w:trPr>
        <w:tc>
          <w:tcPr>
            <w:tcW w:w="673" w:type="dxa"/>
            <w:vMerge w:val="continue"/>
            <w:tcBorders>
              <w:top w:val="nil"/>
              <w:left w:val="single" w:color="auto" w:sz="4" w:space="0"/>
              <w:bottom w:val="single" w:color="auto" w:sz="4" w:space="0"/>
              <w:right w:val="single" w:color="auto" w:sz="4" w:space="0"/>
            </w:tcBorders>
            <w:vAlign w:val="center"/>
          </w:tcPr>
          <w:p w14:paraId="30DC19AB">
            <w:pPr>
              <w:widowControl/>
              <w:snapToGrid w:val="0"/>
              <w:jc w:val="left"/>
              <w:rPr>
                <w:rFonts w:hint="eastAsia" w:ascii="仿宋" w:hAnsi="仿宋" w:eastAsia="仿宋" w:cs="宋体"/>
                <w:b/>
                <w:bCs/>
                <w:color w:val="000000"/>
                <w:kern w:val="0"/>
                <w:sz w:val="24"/>
                <w:szCs w:val="24"/>
              </w:rPr>
            </w:pPr>
          </w:p>
        </w:tc>
        <w:tc>
          <w:tcPr>
            <w:tcW w:w="950" w:type="dxa"/>
            <w:vMerge w:val="continue"/>
            <w:tcBorders>
              <w:top w:val="nil"/>
              <w:left w:val="single" w:color="auto" w:sz="4" w:space="0"/>
              <w:bottom w:val="single" w:color="auto" w:sz="4" w:space="0"/>
              <w:right w:val="single" w:color="auto" w:sz="4" w:space="0"/>
            </w:tcBorders>
            <w:vAlign w:val="center"/>
          </w:tcPr>
          <w:p w14:paraId="2803D3FB">
            <w:pPr>
              <w:widowControl/>
              <w:snapToGrid w:val="0"/>
              <w:jc w:val="left"/>
              <w:rPr>
                <w:rFonts w:hint="eastAsia" w:ascii="仿宋" w:hAnsi="仿宋" w:eastAsia="仿宋" w:cs="宋体"/>
                <w:b/>
                <w:bCs/>
                <w:color w:val="000000"/>
                <w:kern w:val="0"/>
                <w:sz w:val="24"/>
                <w:szCs w:val="24"/>
              </w:rPr>
            </w:pPr>
          </w:p>
        </w:tc>
        <w:tc>
          <w:tcPr>
            <w:tcW w:w="612" w:type="dxa"/>
            <w:vMerge w:val="continue"/>
            <w:tcBorders>
              <w:top w:val="nil"/>
              <w:left w:val="single" w:color="auto" w:sz="4" w:space="0"/>
              <w:bottom w:val="single" w:color="auto" w:sz="4" w:space="0"/>
              <w:right w:val="single" w:color="auto" w:sz="4" w:space="0"/>
            </w:tcBorders>
            <w:vAlign w:val="center"/>
          </w:tcPr>
          <w:p w14:paraId="1D429B6E">
            <w:pPr>
              <w:widowControl/>
              <w:snapToGrid w:val="0"/>
              <w:jc w:val="left"/>
              <w:rPr>
                <w:rFonts w:hint="eastAsia" w:ascii="仿宋" w:hAnsi="仿宋" w:eastAsia="仿宋" w:cs="宋体"/>
                <w:b/>
                <w:bCs/>
                <w:color w:val="000000"/>
                <w:kern w:val="0"/>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14:paraId="43F67FB1">
            <w:pPr>
              <w:widowControl/>
              <w:snapToGrid w:val="0"/>
              <w:jc w:val="left"/>
              <w:rPr>
                <w:rFonts w:hint="eastAsia" w:ascii="仿宋" w:hAnsi="仿宋" w:eastAsia="仿宋" w:cs="宋体"/>
                <w:b/>
                <w:bCs/>
                <w:color w:val="000000"/>
                <w:kern w:val="0"/>
                <w:sz w:val="24"/>
                <w:szCs w:val="24"/>
              </w:rPr>
            </w:pPr>
          </w:p>
        </w:tc>
        <w:tc>
          <w:tcPr>
            <w:tcW w:w="5392" w:type="dxa"/>
            <w:vMerge w:val="continue"/>
            <w:tcBorders>
              <w:top w:val="nil"/>
              <w:left w:val="single" w:color="auto" w:sz="4" w:space="0"/>
              <w:bottom w:val="single" w:color="auto" w:sz="4" w:space="0"/>
              <w:right w:val="single" w:color="auto" w:sz="4" w:space="0"/>
            </w:tcBorders>
            <w:vAlign w:val="center"/>
          </w:tcPr>
          <w:p w14:paraId="6F357120">
            <w:pPr>
              <w:widowControl/>
              <w:snapToGrid w:val="0"/>
              <w:jc w:val="left"/>
              <w:rPr>
                <w:rFonts w:hint="eastAsia" w:ascii="仿宋" w:hAnsi="仿宋" w:eastAsia="仿宋" w:cs="宋体"/>
                <w:b/>
                <w:bCs/>
                <w:color w:val="000000"/>
                <w:kern w:val="0"/>
                <w:sz w:val="24"/>
                <w:szCs w:val="24"/>
              </w:rPr>
            </w:pPr>
          </w:p>
        </w:tc>
        <w:tc>
          <w:tcPr>
            <w:tcW w:w="198" w:type="dxa"/>
            <w:tcBorders>
              <w:top w:val="nil"/>
              <w:left w:val="nil"/>
              <w:bottom w:val="nil"/>
              <w:right w:val="nil"/>
            </w:tcBorders>
            <w:shd w:val="clear" w:color="auto" w:fill="auto"/>
            <w:noWrap/>
            <w:vAlign w:val="bottom"/>
          </w:tcPr>
          <w:p w14:paraId="276C1377">
            <w:pPr>
              <w:widowControl/>
              <w:snapToGrid w:val="0"/>
              <w:jc w:val="center"/>
              <w:rPr>
                <w:rFonts w:hint="eastAsia" w:ascii="仿宋" w:hAnsi="仿宋" w:eastAsia="仿宋" w:cs="宋体"/>
                <w:b/>
                <w:bCs/>
                <w:color w:val="000000"/>
                <w:kern w:val="0"/>
                <w:sz w:val="24"/>
                <w:szCs w:val="24"/>
              </w:rPr>
            </w:pPr>
          </w:p>
        </w:tc>
      </w:tr>
      <w:tr w14:paraId="3C47FA89">
        <w:tblPrEx>
          <w:tblCellMar>
            <w:top w:w="56" w:type="dxa"/>
            <w:left w:w="96" w:type="dxa"/>
            <w:bottom w:w="56" w:type="dxa"/>
            <w:right w:w="96" w:type="dxa"/>
          </w:tblCellMar>
        </w:tblPrEx>
        <w:trPr>
          <w:trHeight w:val="0"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7A04A79">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950" w:type="dxa"/>
            <w:vMerge w:val="restart"/>
            <w:tcBorders>
              <w:top w:val="nil"/>
              <w:left w:val="single" w:color="auto" w:sz="4" w:space="0"/>
              <w:bottom w:val="single" w:color="auto" w:sz="4" w:space="0"/>
              <w:right w:val="single" w:color="auto" w:sz="4" w:space="0"/>
            </w:tcBorders>
            <w:shd w:val="clear" w:color="auto" w:fill="auto"/>
            <w:vAlign w:val="center"/>
          </w:tcPr>
          <w:p w14:paraId="2747E704">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612" w:type="dxa"/>
            <w:tcBorders>
              <w:top w:val="nil"/>
              <w:left w:val="nil"/>
              <w:bottom w:val="single" w:color="auto" w:sz="4" w:space="0"/>
              <w:right w:val="single" w:color="auto" w:sz="4" w:space="0"/>
            </w:tcBorders>
            <w:shd w:val="clear" w:color="auto" w:fill="auto"/>
            <w:vAlign w:val="center"/>
          </w:tcPr>
          <w:p w14:paraId="6B90D1E3">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673" w:type="dxa"/>
            <w:tcBorders>
              <w:top w:val="nil"/>
              <w:left w:val="nil"/>
              <w:bottom w:val="single" w:color="auto" w:sz="4" w:space="0"/>
              <w:right w:val="single" w:color="auto" w:sz="4" w:space="0"/>
            </w:tcBorders>
            <w:shd w:val="clear" w:color="auto" w:fill="auto"/>
            <w:noWrap/>
            <w:vAlign w:val="center"/>
          </w:tcPr>
          <w:p w14:paraId="3535C207">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5392" w:type="dxa"/>
            <w:tcBorders>
              <w:top w:val="nil"/>
              <w:left w:val="nil"/>
              <w:bottom w:val="single" w:color="auto" w:sz="4" w:space="0"/>
              <w:right w:val="single" w:color="auto" w:sz="4" w:space="0"/>
            </w:tcBorders>
            <w:shd w:val="clear" w:color="auto" w:fill="auto"/>
            <w:vAlign w:val="center"/>
          </w:tcPr>
          <w:p w14:paraId="015B975B">
            <w:pPr>
              <w:widowControl/>
              <w:snapToGrid w:val="0"/>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自202</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年1月1日起，完成</w:t>
            </w:r>
            <w:r>
              <w:rPr>
                <w:rFonts w:hint="eastAsia" w:ascii="仿宋" w:hAnsi="仿宋" w:eastAsia="仿宋" w:cs="宋体"/>
                <w:color w:val="000000"/>
                <w:kern w:val="0"/>
                <w:sz w:val="24"/>
                <w:szCs w:val="24"/>
                <w:highlight w:val="none"/>
                <w:lang w:val="en-US" w:eastAsia="zh-CN"/>
              </w:rPr>
              <w:t>过</w:t>
            </w:r>
            <w:r>
              <w:rPr>
                <w:rFonts w:hint="eastAsia" w:ascii="仿宋" w:hAnsi="仿宋" w:eastAsia="仿宋" w:cs="宋体"/>
                <w:color w:val="000000"/>
                <w:kern w:val="0"/>
                <w:sz w:val="24"/>
                <w:szCs w:val="24"/>
                <w:highlight w:val="none"/>
              </w:rPr>
              <w:t>类似</w:t>
            </w:r>
            <w:r>
              <w:rPr>
                <w:rFonts w:hint="eastAsia" w:ascii="仿宋" w:hAnsi="仿宋" w:eastAsia="仿宋" w:cs="宋体"/>
                <w:color w:val="000000"/>
                <w:kern w:val="0"/>
                <w:sz w:val="24"/>
                <w:szCs w:val="24"/>
                <w:highlight w:val="none"/>
                <w:lang w:val="en-US" w:eastAsia="zh-CN"/>
              </w:rPr>
              <w:t>文旅项目，工程改造或文旅运营</w:t>
            </w:r>
            <w:r>
              <w:rPr>
                <w:rFonts w:hint="eastAsia" w:ascii="仿宋" w:hAnsi="仿宋" w:eastAsia="仿宋" w:cs="宋体"/>
                <w:color w:val="000000"/>
                <w:kern w:val="0"/>
                <w:sz w:val="24"/>
                <w:szCs w:val="24"/>
                <w:highlight w:val="none"/>
              </w:rPr>
              <w:t>项目的招标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代理业务的，</w:t>
            </w:r>
            <w:r>
              <w:rPr>
                <w:rFonts w:hint="eastAsia" w:ascii="仿宋" w:hAnsi="仿宋" w:eastAsia="仿宋" w:cs="宋体"/>
                <w:color w:val="000000"/>
                <w:kern w:val="0"/>
                <w:sz w:val="24"/>
                <w:szCs w:val="24"/>
                <w:highlight w:val="none"/>
                <w:lang w:val="en-US" w:eastAsia="zh-CN"/>
              </w:rPr>
              <w:t>业绩内容具体参照</w:t>
            </w:r>
            <w:r>
              <w:rPr>
                <w:rFonts w:hint="eastAsia" w:ascii="仿宋" w:hAnsi="仿宋" w:eastAsia="仿宋" w:cs="宋体"/>
                <w:color w:val="000000"/>
                <w:kern w:val="0"/>
                <w:sz w:val="24"/>
                <w:szCs w:val="24"/>
                <w:highlight w:val="none"/>
              </w:rPr>
              <w:t>《广东省文化和旅游厅关于2025年全省旅游服务中心体系建设相关工作的通知》</w:t>
            </w:r>
            <w:r>
              <w:rPr>
                <w:rFonts w:hint="eastAsia" w:ascii="仿宋" w:hAnsi="仿宋" w:eastAsia="仿宋" w:cs="宋体"/>
                <w:color w:val="000000"/>
                <w:kern w:val="0"/>
                <w:sz w:val="24"/>
                <w:szCs w:val="24"/>
                <w:highlight w:val="none"/>
                <w:lang w:val="en-US" w:eastAsia="zh-CN"/>
              </w:rPr>
              <w:t>要求的工作内容</w:t>
            </w:r>
            <w:bookmarkStart w:id="0" w:name="_GoBack"/>
            <w:bookmarkEnd w:id="0"/>
            <w:r>
              <w:rPr>
                <w:rFonts w:hint="eastAsia" w:ascii="仿宋" w:hAnsi="仿宋" w:eastAsia="仿宋" w:cs="宋体"/>
                <w:color w:val="000000"/>
                <w:kern w:val="0"/>
                <w:sz w:val="24"/>
                <w:szCs w:val="24"/>
                <w:highlight w:val="none"/>
                <w:lang w:val="en-US" w:eastAsia="zh-CN"/>
              </w:rPr>
              <w:t>，</w:t>
            </w:r>
            <w:r>
              <w:rPr>
                <w:rFonts w:hint="eastAsia" w:ascii="仿宋" w:hAnsi="仿宋" w:eastAsia="仿宋" w:cs="宋体"/>
                <w:color w:val="000000"/>
                <w:kern w:val="0"/>
                <w:sz w:val="24"/>
                <w:szCs w:val="24"/>
                <w:highlight w:val="none"/>
              </w:rPr>
              <w:t>得15分。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（提供类似项目招标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公告截图</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代理合同复印件</w:t>
            </w:r>
            <w:r>
              <w:rPr>
                <w:rFonts w:hint="eastAsia" w:ascii="仿宋" w:hAnsi="仿宋" w:eastAsia="仿宋" w:cs="宋体"/>
                <w:color w:val="000000"/>
                <w:kern w:val="0"/>
                <w:sz w:val="24"/>
                <w:szCs w:val="24"/>
                <w:highlight w:val="none"/>
              </w:rPr>
              <w:t>，不提供不得分）</w:t>
            </w:r>
          </w:p>
        </w:tc>
        <w:tc>
          <w:tcPr>
            <w:tcW w:w="198" w:type="dxa"/>
            <w:vAlign w:val="center"/>
          </w:tcPr>
          <w:p w14:paraId="2091189E">
            <w:pPr>
              <w:widowControl/>
              <w:snapToGrid w:val="0"/>
              <w:jc w:val="left"/>
              <w:rPr>
                <w:rFonts w:ascii="Times New Roman" w:hAnsi="Times New Roman" w:eastAsia="Times New Roman" w:cs="Times New Roman"/>
                <w:kern w:val="0"/>
                <w:sz w:val="20"/>
                <w:szCs w:val="20"/>
              </w:rPr>
            </w:pPr>
          </w:p>
        </w:tc>
      </w:tr>
      <w:tr w14:paraId="424DB024">
        <w:tblPrEx>
          <w:tblCellMar>
            <w:top w:w="56" w:type="dxa"/>
            <w:left w:w="96" w:type="dxa"/>
            <w:bottom w:w="56" w:type="dxa"/>
            <w:right w:w="96" w:type="dxa"/>
          </w:tblCellMar>
        </w:tblPrEx>
        <w:trPr>
          <w:trHeight w:val="0"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E4A0167">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50" w:type="dxa"/>
            <w:vMerge w:val="continue"/>
            <w:tcBorders>
              <w:top w:val="nil"/>
              <w:left w:val="single" w:color="auto" w:sz="4" w:space="0"/>
              <w:bottom w:val="single" w:color="auto" w:sz="4" w:space="0"/>
              <w:right w:val="single" w:color="auto" w:sz="4" w:space="0"/>
            </w:tcBorders>
            <w:vAlign w:val="center"/>
          </w:tcPr>
          <w:p w14:paraId="23CEDDD3">
            <w:pPr>
              <w:widowControl/>
              <w:snapToGrid w:val="0"/>
              <w:jc w:val="left"/>
              <w:rPr>
                <w:rFonts w:hint="eastAsia" w:ascii="仿宋" w:hAnsi="仿宋" w:eastAsia="仿宋" w:cs="宋体"/>
                <w:color w:val="000000"/>
                <w:kern w:val="0"/>
                <w:sz w:val="24"/>
                <w:szCs w:val="24"/>
              </w:rPr>
            </w:pPr>
          </w:p>
        </w:tc>
        <w:tc>
          <w:tcPr>
            <w:tcW w:w="612" w:type="dxa"/>
            <w:tcBorders>
              <w:top w:val="nil"/>
              <w:left w:val="nil"/>
              <w:bottom w:val="single" w:color="auto" w:sz="4" w:space="0"/>
              <w:right w:val="single" w:color="auto" w:sz="4" w:space="0"/>
            </w:tcBorders>
            <w:shd w:val="clear" w:color="auto" w:fill="auto"/>
            <w:vAlign w:val="center"/>
          </w:tcPr>
          <w:p w14:paraId="158A1799">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673" w:type="dxa"/>
            <w:tcBorders>
              <w:top w:val="nil"/>
              <w:left w:val="nil"/>
              <w:bottom w:val="single" w:color="auto" w:sz="4" w:space="0"/>
              <w:right w:val="single" w:color="auto" w:sz="4" w:space="0"/>
            </w:tcBorders>
            <w:shd w:val="clear" w:color="auto" w:fill="auto"/>
            <w:noWrap/>
            <w:vAlign w:val="center"/>
          </w:tcPr>
          <w:p w14:paraId="197251E3">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5392" w:type="dxa"/>
            <w:tcBorders>
              <w:top w:val="nil"/>
              <w:left w:val="nil"/>
              <w:bottom w:val="single" w:color="auto" w:sz="4" w:space="0"/>
              <w:right w:val="single" w:color="auto" w:sz="4" w:space="0"/>
            </w:tcBorders>
            <w:shd w:val="clear" w:color="auto" w:fill="auto"/>
            <w:vAlign w:val="center"/>
          </w:tcPr>
          <w:p w14:paraId="21BD9876">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198" w:type="dxa"/>
            <w:vAlign w:val="center"/>
          </w:tcPr>
          <w:p w14:paraId="0F146629">
            <w:pPr>
              <w:widowControl/>
              <w:snapToGrid w:val="0"/>
              <w:jc w:val="left"/>
              <w:rPr>
                <w:rFonts w:ascii="Times New Roman" w:hAnsi="Times New Roman" w:eastAsia="Times New Roman" w:cs="Times New Roman"/>
                <w:kern w:val="0"/>
                <w:sz w:val="20"/>
                <w:szCs w:val="20"/>
              </w:rPr>
            </w:pPr>
          </w:p>
        </w:tc>
      </w:tr>
      <w:tr w14:paraId="1AE34C66">
        <w:tblPrEx>
          <w:tblCellMar>
            <w:top w:w="56" w:type="dxa"/>
            <w:left w:w="96" w:type="dxa"/>
            <w:bottom w:w="56" w:type="dxa"/>
            <w:right w:w="96" w:type="dxa"/>
          </w:tblCellMar>
        </w:tblPrEx>
        <w:trPr>
          <w:trHeight w:val="0"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870A922">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950" w:type="dxa"/>
            <w:vMerge w:val="continue"/>
            <w:tcBorders>
              <w:top w:val="nil"/>
              <w:left w:val="single" w:color="auto" w:sz="4" w:space="0"/>
              <w:bottom w:val="single" w:color="auto" w:sz="4" w:space="0"/>
              <w:right w:val="single" w:color="auto" w:sz="4" w:space="0"/>
            </w:tcBorders>
            <w:vAlign w:val="center"/>
          </w:tcPr>
          <w:p w14:paraId="71335CFC">
            <w:pPr>
              <w:widowControl/>
              <w:snapToGrid w:val="0"/>
              <w:jc w:val="left"/>
              <w:rPr>
                <w:rFonts w:hint="eastAsia" w:ascii="仿宋" w:hAnsi="仿宋" w:eastAsia="仿宋" w:cs="宋体"/>
                <w:color w:val="000000"/>
                <w:kern w:val="0"/>
                <w:sz w:val="24"/>
                <w:szCs w:val="24"/>
              </w:rPr>
            </w:pPr>
          </w:p>
        </w:tc>
        <w:tc>
          <w:tcPr>
            <w:tcW w:w="612" w:type="dxa"/>
            <w:tcBorders>
              <w:top w:val="nil"/>
              <w:left w:val="nil"/>
              <w:bottom w:val="single" w:color="auto" w:sz="4" w:space="0"/>
              <w:right w:val="single" w:color="auto" w:sz="4" w:space="0"/>
            </w:tcBorders>
            <w:shd w:val="clear" w:color="auto" w:fill="auto"/>
            <w:vAlign w:val="center"/>
          </w:tcPr>
          <w:p w14:paraId="16D8A307">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673" w:type="dxa"/>
            <w:tcBorders>
              <w:top w:val="nil"/>
              <w:left w:val="nil"/>
              <w:bottom w:val="single" w:color="auto" w:sz="4" w:space="0"/>
              <w:right w:val="single" w:color="auto" w:sz="4" w:space="0"/>
            </w:tcBorders>
            <w:shd w:val="clear" w:color="auto" w:fill="auto"/>
            <w:noWrap/>
            <w:vAlign w:val="center"/>
          </w:tcPr>
          <w:p w14:paraId="77E41B8D">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5392" w:type="dxa"/>
            <w:tcBorders>
              <w:top w:val="nil"/>
              <w:left w:val="nil"/>
              <w:bottom w:val="single" w:color="auto" w:sz="4" w:space="0"/>
              <w:right w:val="single" w:color="auto" w:sz="4" w:space="0"/>
            </w:tcBorders>
            <w:shd w:val="clear" w:color="auto" w:fill="auto"/>
            <w:vAlign w:val="center"/>
          </w:tcPr>
          <w:p w14:paraId="32A92504">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198" w:type="dxa"/>
            <w:vAlign w:val="center"/>
          </w:tcPr>
          <w:p w14:paraId="1E3DAFB4">
            <w:pPr>
              <w:widowControl/>
              <w:snapToGrid w:val="0"/>
              <w:jc w:val="left"/>
              <w:rPr>
                <w:rFonts w:ascii="Times New Roman" w:hAnsi="Times New Roman" w:eastAsia="Times New Roman" w:cs="Times New Roman"/>
                <w:kern w:val="0"/>
                <w:sz w:val="20"/>
                <w:szCs w:val="20"/>
              </w:rPr>
            </w:pPr>
          </w:p>
        </w:tc>
      </w:tr>
      <w:tr w14:paraId="7E1B7266">
        <w:tblPrEx>
          <w:tblCellMar>
            <w:top w:w="56" w:type="dxa"/>
            <w:left w:w="96" w:type="dxa"/>
            <w:bottom w:w="56" w:type="dxa"/>
            <w:right w:w="96" w:type="dxa"/>
          </w:tblCellMar>
        </w:tblPrEx>
        <w:trPr>
          <w:trHeight w:val="0"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784F409">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950" w:type="dxa"/>
            <w:vMerge w:val="continue"/>
            <w:tcBorders>
              <w:top w:val="nil"/>
              <w:left w:val="single" w:color="auto" w:sz="4" w:space="0"/>
              <w:bottom w:val="single" w:color="auto" w:sz="4" w:space="0"/>
              <w:right w:val="single" w:color="auto" w:sz="4" w:space="0"/>
            </w:tcBorders>
            <w:vAlign w:val="center"/>
          </w:tcPr>
          <w:p w14:paraId="769FE1F2">
            <w:pPr>
              <w:widowControl/>
              <w:snapToGrid w:val="0"/>
              <w:jc w:val="left"/>
              <w:rPr>
                <w:rFonts w:hint="eastAsia" w:ascii="仿宋" w:hAnsi="仿宋" w:eastAsia="仿宋" w:cs="宋体"/>
                <w:color w:val="000000"/>
                <w:kern w:val="0"/>
                <w:sz w:val="24"/>
                <w:szCs w:val="24"/>
              </w:rPr>
            </w:pPr>
          </w:p>
        </w:tc>
        <w:tc>
          <w:tcPr>
            <w:tcW w:w="612" w:type="dxa"/>
            <w:tcBorders>
              <w:top w:val="nil"/>
              <w:left w:val="nil"/>
              <w:bottom w:val="single" w:color="auto" w:sz="4" w:space="0"/>
              <w:right w:val="single" w:color="auto" w:sz="4" w:space="0"/>
            </w:tcBorders>
            <w:shd w:val="clear" w:color="auto" w:fill="auto"/>
            <w:vAlign w:val="center"/>
          </w:tcPr>
          <w:p w14:paraId="622DF582">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673" w:type="dxa"/>
            <w:tcBorders>
              <w:top w:val="nil"/>
              <w:left w:val="nil"/>
              <w:bottom w:val="single" w:color="auto" w:sz="4" w:space="0"/>
              <w:right w:val="single" w:color="auto" w:sz="4" w:space="0"/>
            </w:tcBorders>
            <w:shd w:val="clear" w:color="auto" w:fill="auto"/>
            <w:noWrap/>
            <w:vAlign w:val="center"/>
          </w:tcPr>
          <w:p w14:paraId="4B215451">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5392" w:type="dxa"/>
            <w:tcBorders>
              <w:top w:val="nil"/>
              <w:left w:val="nil"/>
              <w:bottom w:val="single" w:color="auto" w:sz="4" w:space="0"/>
              <w:right w:val="single" w:color="auto" w:sz="4" w:space="0"/>
            </w:tcBorders>
            <w:shd w:val="clear" w:color="auto" w:fill="auto"/>
            <w:vAlign w:val="center"/>
          </w:tcPr>
          <w:p w14:paraId="6A63E59B">
            <w:pPr>
              <w:widowControl/>
              <w:snapToGrid w:val="0"/>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投标人在茂名市区域内注册或设有分支机构</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或子公司</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（注：提供产权证明（或租赁合同）复印件。)</w:t>
            </w:r>
          </w:p>
        </w:tc>
        <w:tc>
          <w:tcPr>
            <w:tcW w:w="198" w:type="dxa"/>
            <w:vAlign w:val="center"/>
          </w:tcPr>
          <w:p w14:paraId="6D98D423">
            <w:pPr>
              <w:widowControl/>
              <w:snapToGrid w:val="0"/>
              <w:jc w:val="left"/>
              <w:rPr>
                <w:rFonts w:ascii="Times New Roman" w:hAnsi="Times New Roman" w:eastAsia="Times New Roman" w:cs="Times New Roman"/>
                <w:kern w:val="0"/>
                <w:sz w:val="20"/>
                <w:szCs w:val="20"/>
              </w:rPr>
            </w:pPr>
          </w:p>
        </w:tc>
      </w:tr>
      <w:tr w14:paraId="15B32BD5">
        <w:tblPrEx>
          <w:tblCellMar>
            <w:top w:w="56" w:type="dxa"/>
            <w:left w:w="96" w:type="dxa"/>
            <w:bottom w:w="56" w:type="dxa"/>
            <w:right w:w="96" w:type="dxa"/>
          </w:tblCellMar>
        </w:tblPrEx>
        <w:trPr>
          <w:trHeight w:val="0" w:hRule="atLeast"/>
          <w:jc w:val="center"/>
        </w:trPr>
        <w:tc>
          <w:tcPr>
            <w:tcW w:w="673" w:type="dxa"/>
            <w:tcBorders>
              <w:top w:val="nil"/>
              <w:left w:val="single" w:color="auto" w:sz="4" w:space="0"/>
              <w:bottom w:val="nil"/>
              <w:right w:val="nil"/>
            </w:tcBorders>
            <w:shd w:val="clear" w:color="auto" w:fill="auto"/>
            <w:noWrap/>
            <w:vAlign w:val="center"/>
          </w:tcPr>
          <w:p w14:paraId="05118055">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950" w:type="dxa"/>
            <w:tcBorders>
              <w:top w:val="nil"/>
              <w:left w:val="single" w:color="auto" w:sz="4" w:space="0"/>
              <w:bottom w:val="single" w:color="auto" w:sz="4" w:space="0"/>
              <w:right w:val="single" w:color="auto" w:sz="4" w:space="0"/>
            </w:tcBorders>
            <w:shd w:val="clear" w:color="auto" w:fill="auto"/>
            <w:vAlign w:val="center"/>
          </w:tcPr>
          <w:p w14:paraId="37158B6F">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612" w:type="dxa"/>
            <w:tcBorders>
              <w:top w:val="nil"/>
              <w:left w:val="nil"/>
              <w:bottom w:val="single" w:color="auto" w:sz="4" w:space="0"/>
              <w:right w:val="single" w:color="auto" w:sz="4" w:space="0"/>
            </w:tcBorders>
            <w:shd w:val="clear" w:color="auto" w:fill="auto"/>
            <w:vAlign w:val="center"/>
          </w:tcPr>
          <w:p w14:paraId="0723C737">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673" w:type="dxa"/>
            <w:tcBorders>
              <w:top w:val="nil"/>
              <w:left w:val="nil"/>
              <w:bottom w:val="single" w:color="auto" w:sz="4" w:space="0"/>
              <w:right w:val="single" w:color="auto" w:sz="4" w:space="0"/>
            </w:tcBorders>
            <w:shd w:val="clear" w:color="auto" w:fill="auto"/>
            <w:noWrap/>
            <w:vAlign w:val="center"/>
          </w:tcPr>
          <w:p w14:paraId="5EE05A5D">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5392" w:type="dxa"/>
            <w:tcBorders>
              <w:top w:val="nil"/>
              <w:left w:val="nil"/>
              <w:bottom w:val="single" w:color="auto" w:sz="4" w:space="0"/>
              <w:right w:val="single" w:color="auto" w:sz="4" w:space="0"/>
            </w:tcBorders>
            <w:shd w:val="clear" w:color="auto" w:fill="auto"/>
            <w:vAlign w:val="center"/>
          </w:tcPr>
          <w:p w14:paraId="659BA9AC">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198" w:type="dxa"/>
            <w:vAlign w:val="center"/>
          </w:tcPr>
          <w:p w14:paraId="0C54ADD8">
            <w:pPr>
              <w:widowControl/>
              <w:snapToGrid w:val="0"/>
              <w:jc w:val="left"/>
              <w:rPr>
                <w:rFonts w:ascii="Times New Roman" w:hAnsi="Times New Roman" w:eastAsia="Times New Roman" w:cs="Times New Roman"/>
                <w:kern w:val="0"/>
                <w:sz w:val="20"/>
                <w:szCs w:val="20"/>
              </w:rPr>
            </w:pPr>
          </w:p>
        </w:tc>
      </w:tr>
      <w:tr w14:paraId="19D7A62B">
        <w:tblPrEx>
          <w:tblCellMar>
            <w:top w:w="56" w:type="dxa"/>
            <w:left w:w="96" w:type="dxa"/>
            <w:bottom w:w="56" w:type="dxa"/>
            <w:right w:w="96" w:type="dxa"/>
          </w:tblCellMar>
        </w:tblPrEx>
        <w:trPr>
          <w:trHeight w:val="0" w:hRule="atLeast"/>
          <w:jc w:val="center"/>
        </w:trPr>
        <w:tc>
          <w:tcPr>
            <w:tcW w:w="673" w:type="dxa"/>
            <w:tcBorders>
              <w:top w:val="single" w:color="auto" w:sz="4" w:space="0"/>
              <w:left w:val="single" w:color="auto" w:sz="4" w:space="0"/>
              <w:bottom w:val="nil"/>
              <w:right w:val="single" w:color="auto" w:sz="4" w:space="0"/>
            </w:tcBorders>
            <w:shd w:val="clear" w:color="auto" w:fill="auto"/>
            <w:noWrap/>
            <w:vAlign w:val="center"/>
          </w:tcPr>
          <w:p w14:paraId="7F338828">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950" w:type="dxa"/>
            <w:tcBorders>
              <w:top w:val="nil"/>
              <w:left w:val="nil"/>
              <w:bottom w:val="nil"/>
              <w:right w:val="single" w:color="auto" w:sz="4" w:space="0"/>
            </w:tcBorders>
            <w:shd w:val="clear" w:color="auto" w:fill="auto"/>
            <w:vAlign w:val="center"/>
          </w:tcPr>
          <w:p w14:paraId="6C5EFF9B">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612" w:type="dxa"/>
            <w:tcBorders>
              <w:top w:val="nil"/>
              <w:left w:val="nil"/>
              <w:bottom w:val="single" w:color="auto" w:sz="4" w:space="0"/>
              <w:right w:val="single" w:color="auto" w:sz="4" w:space="0"/>
            </w:tcBorders>
            <w:shd w:val="clear" w:color="auto" w:fill="auto"/>
            <w:vAlign w:val="center"/>
          </w:tcPr>
          <w:p w14:paraId="24187CC4">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673" w:type="dxa"/>
            <w:tcBorders>
              <w:top w:val="nil"/>
              <w:left w:val="nil"/>
              <w:bottom w:val="single" w:color="auto" w:sz="4" w:space="0"/>
              <w:right w:val="single" w:color="auto" w:sz="4" w:space="0"/>
            </w:tcBorders>
            <w:shd w:val="clear" w:color="auto" w:fill="auto"/>
            <w:noWrap/>
            <w:vAlign w:val="center"/>
          </w:tcPr>
          <w:p w14:paraId="196AFA69">
            <w:pPr>
              <w:widowControl/>
              <w:snapToGrid w:val="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5392" w:type="dxa"/>
            <w:tcBorders>
              <w:top w:val="nil"/>
              <w:left w:val="nil"/>
              <w:bottom w:val="single" w:color="auto" w:sz="4" w:space="0"/>
              <w:right w:val="single" w:color="auto" w:sz="4" w:space="0"/>
            </w:tcBorders>
            <w:shd w:val="clear" w:color="auto" w:fill="auto"/>
            <w:vAlign w:val="center"/>
          </w:tcPr>
          <w:p w14:paraId="014AB908">
            <w:pPr>
              <w:widowControl/>
              <w:snapToGrid w:val="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highlight w:val="none"/>
              </w:rPr>
              <w:t>投标报价得分＝（报价下浮率/评标基准价）×30【注：满足遴选公告要求且报价下浮率最高的投标报价为评标基准价，评标基准价最高下浮率为50%。】（最高得30分）</w:t>
            </w:r>
          </w:p>
        </w:tc>
        <w:tc>
          <w:tcPr>
            <w:tcW w:w="198" w:type="dxa"/>
            <w:vAlign w:val="center"/>
          </w:tcPr>
          <w:p w14:paraId="5B23F1A8">
            <w:pPr>
              <w:widowControl/>
              <w:snapToGrid w:val="0"/>
              <w:jc w:val="left"/>
              <w:rPr>
                <w:rFonts w:ascii="Times New Roman" w:hAnsi="Times New Roman" w:eastAsia="Times New Roman" w:cs="Times New Roman"/>
                <w:kern w:val="0"/>
                <w:sz w:val="20"/>
                <w:szCs w:val="20"/>
              </w:rPr>
            </w:pPr>
          </w:p>
        </w:tc>
      </w:tr>
      <w:tr w14:paraId="0EE85655">
        <w:tblPrEx>
          <w:tblCellMar>
            <w:top w:w="56" w:type="dxa"/>
            <w:left w:w="96" w:type="dxa"/>
            <w:bottom w:w="56" w:type="dxa"/>
            <w:right w:w="96" w:type="dxa"/>
          </w:tblCellMar>
        </w:tblPrEx>
        <w:trPr>
          <w:trHeight w:val="0" w:hRule="atLeast"/>
          <w:jc w:val="center"/>
        </w:trPr>
        <w:tc>
          <w:tcPr>
            <w:tcW w:w="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93B7D6">
            <w:pPr>
              <w:widowControl/>
              <w:snapToGrid w:val="0"/>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673" w:type="dxa"/>
            <w:tcBorders>
              <w:top w:val="nil"/>
              <w:left w:val="nil"/>
              <w:bottom w:val="single" w:color="auto" w:sz="4" w:space="0"/>
              <w:right w:val="single" w:color="auto" w:sz="4" w:space="0"/>
            </w:tcBorders>
            <w:shd w:val="clear" w:color="auto" w:fill="auto"/>
            <w:noWrap/>
            <w:vAlign w:val="center"/>
          </w:tcPr>
          <w:p w14:paraId="4D7F860A">
            <w:pPr>
              <w:widowControl/>
              <w:snapToGrid w:val="0"/>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5392" w:type="dxa"/>
            <w:tcBorders>
              <w:top w:val="nil"/>
              <w:left w:val="nil"/>
              <w:bottom w:val="single" w:color="auto" w:sz="4" w:space="0"/>
              <w:right w:val="single" w:color="auto" w:sz="4" w:space="0"/>
            </w:tcBorders>
            <w:shd w:val="clear" w:color="auto" w:fill="auto"/>
            <w:vAlign w:val="center"/>
          </w:tcPr>
          <w:p w14:paraId="40E9AA9F">
            <w:pPr>
              <w:widowControl/>
              <w:snapToGrid w:val="0"/>
              <w:jc w:val="center"/>
              <w:rPr>
                <w:rFonts w:hint="eastAsia" w:ascii="宋体" w:hAnsi="宋体" w:eastAsia="宋体" w:cs="宋体"/>
                <w:color w:val="000000"/>
                <w:kern w:val="0"/>
                <w:sz w:val="22"/>
              </w:rPr>
            </w:pPr>
          </w:p>
        </w:tc>
        <w:tc>
          <w:tcPr>
            <w:tcW w:w="198" w:type="dxa"/>
            <w:vAlign w:val="center"/>
          </w:tcPr>
          <w:p w14:paraId="62CA1D22">
            <w:pPr>
              <w:widowControl/>
              <w:snapToGrid w:val="0"/>
              <w:jc w:val="left"/>
              <w:rPr>
                <w:rFonts w:ascii="Times New Roman" w:hAnsi="Times New Roman" w:eastAsia="Times New Roman" w:cs="Times New Roman"/>
                <w:kern w:val="0"/>
                <w:sz w:val="20"/>
                <w:szCs w:val="20"/>
              </w:rPr>
            </w:pPr>
          </w:p>
        </w:tc>
      </w:tr>
    </w:tbl>
    <w:p w14:paraId="0C9C65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 w:name="KSO_WPS_MARK_KEY" w:val="285506ff-b6ec-4674-befd-368c638f5838"/>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0013"/>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8414F"/>
    <w:rsid w:val="00B930DB"/>
    <w:rsid w:val="00BA78AE"/>
    <w:rsid w:val="00BB5495"/>
    <w:rsid w:val="00BD7463"/>
    <w:rsid w:val="00BE17AB"/>
    <w:rsid w:val="00BF4A41"/>
    <w:rsid w:val="00C02E24"/>
    <w:rsid w:val="00C1052A"/>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D4A25"/>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2EC4A5E"/>
    <w:rsid w:val="03183C56"/>
    <w:rsid w:val="035C6B10"/>
    <w:rsid w:val="040251CE"/>
    <w:rsid w:val="05A65C89"/>
    <w:rsid w:val="061A6A13"/>
    <w:rsid w:val="0716704B"/>
    <w:rsid w:val="081163FE"/>
    <w:rsid w:val="0A327637"/>
    <w:rsid w:val="0C15158B"/>
    <w:rsid w:val="0E8F4289"/>
    <w:rsid w:val="0F24325F"/>
    <w:rsid w:val="10AD7875"/>
    <w:rsid w:val="138767C9"/>
    <w:rsid w:val="15851796"/>
    <w:rsid w:val="1680360B"/>
    <w:rsid w:val="18CC6771"/>
    <w:rsid w:val="1AB01BE3"/>
    <w:rsid w:val="1B024A1B"/>
    <w:rsid w:val="1CE77425"/>
    <w:rsid w:val="1D5C2A5E"/>
    <w:rsid w:val="1DA87FC7"/>
    <w:rsid w:val="1E054C4F"/>
    <w:rsid w:val="1E150B68"/>
    <w:rsid w:val="1F335508"/>
    <w:rsid w:val="1F690BB8"/>
    <w:rsid w:val="214C6115"/>
    <w:rsid w:val="22541828"/>
    <w:rsid w:val="25526809"/>
    <w:rsid w:val="278F0046"/>
    <w:rsid w:val="29605F86"/>
    <w:rsid w:val="29804D3A"/>
    <w:rsid w:val="2F8512FC"/>
    <w:rsid w:val="30552D1F"/>
    <w:rsid w:val="30C07C72"/>
    <w:rsid w:val="34873421"/>
    <w:rsid w:val="35304E7C"/>
    <w:rsid w:val="35B90DD2"/>
    <w:rsid w:val="36B82C5F"/>
    <w:rsid w:val="382473FE"/>
    <w:rsid w:val="38B13980"/>
    <w:rsid w:val="3A0D5A5C"/>
    <w:rsid w:val="3A244938"/>
    <w:rsid w:val="3B29029E"/>
    <w:rsid w:val="3B8A48D4"/>
    <w:rsid w:val="3BF67B9E"/>
    <w:rsid w:val="3CBA38B2"/>
    <w:rsid w:val="3D0051F7"/>
    <w:rsid w:val="3D9B0C9C"/>
    <w:rsid w:val="3E5D55C6"/>
    <w:rsid w:val="3FBB7EA0"/>
    <w:rsid w:val="410424AE"/>
    <w:rsid w:val="4204090A"/>
    <w:rsid w:val="433A7208"/>
    <w:rsid w:val="43AA224B"/>
    <w:rsid w:val="460E34D5"/>
    <w:rsid w:val="468C46BC"/>
    <w:rsid w:val="4A6B06F9"/>
    <w:rsid w:val="4AFB2C10"/>
    <w:rsid w:val="4C4709E2"/>
    <w:rsid w:val="4D1A130C"/>
    <w:rsid w:val="4D3E25C6"/>
    <w:rsid w:val="4D66553A"/>
    <w:rsid w:val="4DBD6EEB"/>
    <w:rsid w:val="4F702F33"/>
    <w:rsid w:val="52730AE9"/>
    <w:rsid w:val="52D0653F"/>
    <w:rsid w:val="569A59E8"/>
    <w:rsid w:val="58893220"/>
    <w:rsid w:val="5903698A"/>
    <w:rsid w:val="59482813"/>
    <w:rsid w:val="59E34532"/>
    <w:rsid w:val="5A9151A8"/>
    <w:rsid w:val="5BB26726"/>
    <w:rsid w:val="60291AE5"/>
    <w:rsid w:val="605D6E26"/>
    <w:rsid w:val="61601DAF"/>
    <w:rsid w:val="61B85CF2"/>
    <w:rsid w:val="638A3118"/>
    <w:rsid w:val="653611F1"/>
    <w:rsid w:val="654042C5"/>
    <w:rsid w:val="670818F0"/>
    <w:rsid w:val="67EF5014"/>
    <w:rsid w:val="684B0445"/>
    <w:rsid w:val="6E1B6F75"/>
    <w:rsid w:val="6E421B8B"/>
    <w:rsid w:val="6E9A1C06"/>
    <w:rsid w:val="6ED91E9B"/>
    <w:rsid w:val="6F9656A8"/>
    <w:rsid w:val="707E3A64"/>
    <w:rsid w:val="723009CF"/>
    <w:rsid w:val="729C357B"/>
    <w:rsid w:val="72F23F46"/>
    <w:rsid w:val="741D7F6F"/>
    <w:rsid w:val="755B7BD7"/>
    <w:rsid w:val="75DA1EAA"/>
    <w:rsid w:val="7A1E2086"/>
    <w:rsid w:val="7C83325F"/>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未处理的提及1"/>
    <w:basedOn w:val="7"/>
    <w:semiHidden/>
    <w:unhideWhenUsed/>
    <w:qFormat/>
    <w:uiPriority w:val="99"/>
    <w:rPr>
      <w:color w:val="605E5C"/>
      <w:shd w:val="clear" w:color="auto" w:fill="E1DFDD"/>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1329</Words>
  <Characters>1429</Characters>
  <Lines>11</Lines>
  <Paragraphs>3</Paragraphs>
  <TotalTime>0</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Zed丶Leblanc</cp:lastModifiedBy>
  <dcterms:modified xsi:type="dcterms:W3CDTF">2025-09-17T03:19:45Z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998C3436E0384C78AE5E57DE2558F6ED_13</vt:lpwstr>
  </property>
  <property fmtid="{D5CDD505-2E9C-101B-9397-08002B2CF9AE}" pid="4" name="KSOTemplateDocerSaveRecord">
    <vt:lpwstr>eyJoZGlkIjoiZjFmZWIzNDg2MmIzZjExOTIzMmViNTBmYTMwYTk0ZWYiLCJ1c2VySWQiOiIzMzU0NzM2MzMifQ==</vt:lpwstr>
  </property>
</Properties>
</file>