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茂名滨海新区新城东加油站充电桩配电工程项目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6A2A56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我司因业务需求，拟开展茂名滨海新区新城东加油站充电桩配电工程项目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lang w:eastAsia="zh-CN"/>
        </w:rPr>
        <w:t>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</w:t>
      </w:r>
      <w:r>
        <w:rPr>
          <w:rFonts w:hint="default" w:ascii="仿宋_GB2312" w:eastAsia="仿宋_GB2312"/>
          <w:sz w:val="32"/>
          <w:szCs w:val="32"/>
          <w:lang w:eastAsia="zh-CN"/>
        </w:rPr>
        <w:t>323431302@qq.com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附件：1.公开遴选报名表-茂名滨海新区新城东加油站充电桩配电工程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jc w:val="right"/>
        <w:rPr>
          <w:rFonts w:ascii="仿宋_GB2312" w:eastAsia="仿宋_GB2312"/>
          <w:sz w:val="32"/>
          <w:szCs w:val="32"/>
        </w:rPr>
      </w:pP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64DB75EB">
      <w:pPr>
        <w:spacing w:line="590" w:lineRule="exact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茂名滨海国有资产经营管理有限公司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08EE0A3C"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2C85715A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746E6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茂名滨海新区新城东加油站充电桩配电工程项目</w:t>
            </w:r>
          </w:p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茂名滨海新区新城东加油站充电桩配电工程项目招标代理服务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B96A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建设内容：新增一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台1250kVA专用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变压器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高压柜、电缆、套管、避雷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避出引下线、接地线等，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土建工程，箱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变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基础、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电缆分接箱基础、电缆直线检测井等，投资预算约65万，具体以预算书、预算审核报告为准。</w:t>
            </w:r>
          </w:p>
          <w:p w14:paraId="015EAEE0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选聘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代理要求：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服务该项目的各类费用，包括但不限于：专家评审费、代理费、文印费、快递费、人工费等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综合评分表</w:t>
      </w:r>
    </w:p>
    <w:tbl>
      <w:tblPr>
        <w:tblW w:w="8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73"/>
        <w:gridCol w:w="1074"/>
        <w:gridCol w:w="665"/>
        <w:gridCol w:w="673"/>
        <w:gridCol w:w="5612"/>
      </w:tblGrid>
      <w:tr w14:paraId="012F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F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6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9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评审项目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D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2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评分标准</w:t>
            </w:r>
          </w:p>
        </w:tc>
      </w:tr>
      <w:tr w14:paraId="31CB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4A5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F08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6D3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8C8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3C0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9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5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8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商务部分（40分）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DF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企业业绩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5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D0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自2022年1月1日起，完成过工程类项目招标(采购)代理业绩的，每提供一项得3分，最高得15 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(提供类似项目招标(采购)公告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截图，代理合同复印件，不提供不得分)</w:t>
            </w:r>
          </w:p>
        </w:tc>
      </w:tr>
      <w:tr w14:paraId="1784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9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26EF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77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企业认证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F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80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投标人具有有效的质量管理体系认 证证书、环境管理体系认证证书， 职业健康安装管理体系认证证书， 每项得1分，最高得3分</w:t>
            </w:r>
          </w:p>
        </w:tc>
      </w:tr>
      <w:tr w14:paraId="30A7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670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B25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3F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团队实力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5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0A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拟派项目组人员具有政府采购从业培训合格证的，每人得5分，最高得10分。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(提供证书复印件及社保证明，不提供不得分)</w:t>
            </w:r>
          </w:p>
        </w:tc>
      </w:tr>
      <w:tr w14:paraId="48B2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C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2B9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1E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服务便利性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2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4E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投标人在茂名市区域内注册或设有分支机构的，且办公场地200平方米 及以上的得12分，办公场地100平方 米-200平方米(不含)的得6分。办公场地不到100平方米的不得分。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(注：提供产权证明(或租赁合 同)复印件。)</w:t>
            </w:r>
          </w:p>
        </w:tc>
      </w:tr>
      <w:tr w14:paraId="5D7F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3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97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技术部分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（30分）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D5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企业服务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F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CF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对投标人提供的代理服务整体方案，项目质量保证措施，服务流程等方面，优得20-30分，良得10-20分，一般得5-10分，较差得0-5分。</w:t>
            </w:r>
          </w:p>
        </w:tc>
      </w:tr>
      <w:tr w14:paraId="134C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3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4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报价部分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（30分）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94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投标报价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7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2A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投标报价得分＝（评标基准价/投标报价）×30【注：满足遴选公告要求且报价最低的投标报价为评标基准价，评标基准价最低为采购上限价的50%。】（最高得30分）</w:t>
            </w:r>
          </w:p>
        </w:tc>
      </w:tr>
      <w:tr w14:paraId="0FF2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2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2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A7C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D5C73"/>
    <w:multiLevelType w:val="singleLevel"/>
    <w:tmpl w:val="90AD5C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1855B12"/>
    <w:rsid w:val="241C572B"/>
    <w:rsid w:val="278F0046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BEB02E1"/>
    <w:rsid w:val="4C4709E2"/>
    <w:rsid w:val="4D66553A"/>
    <w:rsid w:val="4DBD6EEB"/>
    <w:rsid w:val="52730AE9"/>
    <w:rsid w:val="569A59E8"/>
    <w:rsid w:val="58893220"/>
    <w:rsid w:val="5903698A"/>
    <w:rsid w:val="599A5B08"/>
    <w:rsid w:val="59E34532"/>
    <w:rsid w:val="5BB26726"/>
    <w:rsid w:val="60291AE5"/>
    <w:rsid w:val="605D6E26"/>
    <w:rsid w:val="61601DAF"/>
    <w:rsid w:val="638A3118"/>
    <w:rsid w:val="653611F1"/>
    <w:rsid w:val="654042C5"/>
    <w:rsid w:val="6A9E4A45"/>
    <w:rsid w:val="6DD10C8D"/>
    <w:rsid w:val="6E1B6F75"/>
    <w:rsid w:val="6E421B8B"/>
    <w:rsid w:val="6ED91E9B"/>
    <w:rsid w:val="6F5C6CC8"/>
    <w:rsid w:val="707E3A64"/>
    <w:rsid w:val="723009CF"/>
    <w:rsid w:val="72F23F46"/>
    <w:rsid w:val="741D7F6F"/>
    <w:rsid w:val="755B7BD7"/>
    <w:rsid w:val="75DA1EAA"/>
    <w:rsid w:val="78314D61"/>
    <w:rsid w:val="7A1E2086"/>
    <w:rsid w:val="7C6B2A11"/>
    <w:rsid w:val="7F031A27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912</Characters>
  <Lines>7</Lines>
  <Paragraphs>2</Paragraphs>
  <TotalTime>16</TotalTime>
  <ScaleCrop>false</ScaleCrop>
  <LinksUpToDate>false</LinksUpToDate>
  <CharactersWithSpaces>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Zed丶Leblanc</cp:lastModifiedBy>
  <dcterms:modified xsi:type="dcterms:W3CDTF">2025-10-11T09:59:28Z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9BD75CD0788D4034A6A34A5DFD719C29_13</vt:lpwstr>
  </property>
  <property fmtid="{D5CDD505-2E9C-101B-9397-08002B2CF9AE}" pid="4" name="KSOTemplateDocerSaveRecord">
    <vt:lpwstr>eyJoZGlkIjoiZjFmZWIzNDg2MmIzZjExOTIzMmViNTBmYTMwYTk0ZWYiLCJ1c2VySWQiOiIzMzU0NzM2MzMifQ==</vt:lpwstr>
  </property>
</Properties>
</file>