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F509C"/>
    <w:p w14:paraId="43D45EF7"/>
    <w:p w14:paraId="454C11F5">
      <w:pPr>
        <w:pStyle w:val="7"/>
      </w:pPr>
    </w:p>
    <w:p w14:paraId="1259B0E2">
      <w:pPr>
        <w:pStyle w:val="7"/>
      </w:pPr>
    </w:p>
    <w:p w14:paraId="15E38F84">
      <w:pPr>
        <w:jc w:val="center"/>
        <w:rPr>
          <w:b/>
          <w:sz w:val="48"/>
        </w:rPr>
      </w:pPr>
      <w:r>
        <w:rPr>
          <w:rFonts w:hint="eastAsia"/>
          <w:b/>
          <w:sz w:val="48"/>
          <w:szCs w:val="48"/>
        </w:rPr>
        <w:t>茂名滨海发展集团有限公司聘请2025年度资产评估机构业务项目</w:t>
      </w:r>
    </w:p>
    <w:p w14:paraId="56058462">
      <w:pPr>
        <w:jc w:val="center"/>
        <w:rPr>
          <w:rFonts w:hint="eastAsia" w:ascii="宋体" w:hAnsi="宋体" w:eastAsia="宋体" w:cs="宋体"/>
          <w:b/>
          <w:sz w:val="56"/>
          <w:szCs w:val="32"/>
        </w:rPr>
      </w:pPr>
    </w:p>
    <w:p w14:paraId="2CB47DBE">
      <w:pPr>
        <w:jc w:val="center"/>
        <w:rPr>
          <w:rFonts w:hint="eastAsia" w:ascii="宋体" w:hAnsi="宋体" w:eastAsia="宋体" w:cs="宋体"/>
          <w:b/>
          <w:sz w:val="56"/>
          <w:szCs w:val="32"/>
        </w:rPr>
      </w:pPr>
    </w:p>
    <w:p w14:paraId="2348A935">
      <w:pPr>
        <w:jc w:val="center"/>
        <w:rPr>
          <w:rFonts w:hint="eastAsia" w:ascii="宋体" w:hAnsi="宋体" w:eastAsia="宋体" w:cs="宋体"/>
          <w:b/>
          <w:sz w:val="56"/>
          <w:szCs w:val="32"/>
        </w:rPr>
      </w:pPr>
      <w:r>
        <w:rPr>
          <w:rFonts w:hint="eastAsia" w:ascii="宋体" w:hAnsi="宋体" w:eastAsia="宋体" w:cs="宋体"/>
          <w:b/>
          <w:sz w:val="56"/>
          <w:szCs w:val="32"/>
        </w:rPr>
        <w:t>采 购 文 件</w:t>
      </w:r>
    </w:p>
    <w:p w14:paraId="35901F29">
      <w:pPr>
        <w:pStyle w:val="7"/>
      </w:pPr>
    </w:p>
    <w:p w14:paraId="7508379E">
      <w:pPr>
        <w:pStyle w:val="7"/>
      </w:pPr>
    </w:p>
    <w:p w14:paraId="574A8C6D">
      <w:pPr>
        <w:pStyle w:val="7"/>
      </w:pPr>
    </w:p>
    <w:p w14:paraId="61FA1E51">
      <w:pPr>
        <w:pStyle w:val="7"/>
      </w:pPr>
    </w:p>
    <w:p w14:paraId="5369F8C5">
      <w:pPr>
        <w:pStyle w:val="7"/>
      </w:pPr>
    </w:p>
    <w:p w14:paraId="23797443">
      <w:pPr>
        <w:pStyle w:val="7"/>
      </w:pPr>
    </w:p>
    <w:p w14:paraId="056DE7E4">
      <w:pPr>
        <w:pStyle w:val="7"/>
      </w:pPr>
    </w:p>
    <w:p w14:paraId="6465B61F">
      <w:pPr>
        <w:pStyle w:val="7"/>
      </w:pPr>
    </w:p>
    <w:p w14:paraId="2D08A81E">
      <w:pPr>
        <w:spacing w:line="360" w:lineRule="auto"/>
        <w:jc w:val="center"/>
        <w:rPr>
          <w:rFonts w:hint="eastAsia" w:ascii="宋体" w:hAnsi="宋体" w:eastAsia="宋体" w:cs="宋体"/>
          <w:b/>
          <w:sz w:val="24"/>
        </w:rPr>
      </w:pPr>
    </w:p>
    <w:p w14:paraId="40264D1B">
      <w:pPr>
        <w:spacing w:line="360" w:lineRule="auto"/>
        <w:jc w:val="center"/>
        <w:rPr>
          <w:rFonts w:hint="eastAsia" w:ascii="宋体" w:hAnsi="宋体" w:eastAsia="宋体" w:cs="宋体"/>
          <w:b/>
          <w:sz w:val="24"/>
        </w:rPr>
      </w:pPr>
      <w:r>
        <w:rPr>
          <w:rFonts w:hint="eastAsia" w:ascii="宋体" w:hAnsi="宋体" w:eastAsia="宋体" w:cs="宋体"/>
          <w:b/>
          <w:sz w:val="24"/>
        </w:rPr>
        <w:t>采购人：茂名滨海发展集团有限公司</w:t>
      </w:r>
    </w:p>
    <w:p w14:paraId="1868E638">
      <w:pPr>
        <w:pStyle w:val="17"/>
        <w:tabs>
          <w:tab w:val="right" w:leader="dot" w:pos="9128"/>
        </w:tabs>
        <w:jc w:val="center"/>
        <w:rPr>
          <w:b/>
          <w:bCs/>
          <w:sz w:val="24"/>
          <w:szCs w:val="32"/>
        </w:rPr>
        <w:sectPr>
          <w:footerReference r:id="rId3" w:type="default"/>
          <w:pgSz w:w="11906" w:h="16838"/>
          <w:pgMar w:top="1247" w:right="1389" w:bottom="1587" w:left="1389" w:header="1134" w:footer="737" w:gutter="0"/>
          <w:pgNumType w:fmt="numberInDash" w:start="0"/>
          <w:cols w:space="720" w:num="1"/>
          <w:docGrid w:type="lines" w:linePitch="333" w:charSpace="0"/>
        </w:sectPr>
      </w:pPr>
    </w:p>
    <w:p w14:paraId="0B54AAEB">
      <w:pPr>
        <w:pStyle w:val="17"/>
        <w:tabs>
          <w:tab w:val="right" w:leader="dot" w:pos="9128"/>
        </w:tabs>
        <w:jc w:val="center"/>
        <w:rPr>
          <w:b/>
          <w:bCs/>
          <w:sz w:val="36"/>
          <w:szCs w:val="44"/>
        </w:rPr>
      </w:pPr>
      <w:r>
        <w:rPr>
          <w:rFonts w:hint="eastAsia"/>
          <w:b/>
          <w:bCs/>
          <w:sz w:val="36"/>
          <w:szCs w:val="44"/>
        </w:rPr>
        <w:t>目  录</w:t>
      </w:r>
    </w:p>
    <w:p w14:paraId="4A2DB22B">
      <w:pPr>
        <w:pStyle w:val="17"/>
        <w:tabs>
          <w:tab w:val="right" w:leader="dot" w:pos="9128"/>
        </w:tabs>
        <w:spacing w:line="360" w:lineRule="auto"/>
        <w:rPr>
          <w:sz w:val="24"/>
          <w:szCs w:val="32"/>
        </w:rPr>
      </w:pPr>
    </w:p>
    <w:p w14:paraId="5618E952">
      <w:pPr>
        <w:pStyle w:val="17"/>
        <w:tabs>
          <w:tab w:val="right" w:leader="dot" w:pos="9118"/>
        </w:tabs>
        <w:rPr>
          <w:szCs w:val="22"/>
        </w:rPr>
      </w:pPr>
      <w:r>
        <w:rPr>
          <w:rFonts w:hint="eastAsia"/>
          <w:sz w:val="28"/>
          <w:szCs w:val="36"/>
        </w:rPr>
        <w:fldChar w:fldCharType="begin"/>
      </w:r>
      <w:r>
        <w:rPr>
          <w:rFonts w:hint="eastAsia"/>
          <w:sz w:val="28"/>
          <w:szCs w:val="36"/>
        </w:rPr>
        <w:instrText xml:space="preserve">TOC \o "1-1" \h \u </w:instrText>
      </w:r>
      <w:r>
        <w:rPr>
          <w:rFonts w:hint="eastAsia"/>
          <w:sz w:val="28"/>
          <w:szCs w:val="36"/>
        </w:rPr>
        <w:fldChar w:fldCharType="separate"/>
      </w:r>
      <w:r>
        <w:fldChar w:fldCharType="begin"/>
      </w:r>
      <w:r>
        <w:instrText xml:space="preserve"> HYPERLINK \l "_Toc190445935" </w:instrText>
      </w:r>
      <w:r>
        <w:fldChar w:fldCharType="separate"/>
      </w:r>
      <w:r>
        <w:rPr>
          <w:rStyle w:val="33"/>
          <w:b/>
        </w:rPr>
        <w:t>第一章 采购公告</w:t>
      </w:r>
      <w:r>
        <w:tab/>
      </w:r>
      <w:r>
        <w:fldChar w:fldCharType="begin"/>
      </w:r>
      <w:r>
        <w:instrText xml:space="preserve"> PAGEREF _Toc190445935 \h </w:instrText>
      </w:r>
      <w:r>
        <w:fldChar w:fldCharType="separate"/>
      </w:r>
      <w:r>
        <w:t>2</w:t>
      </w:r>
      <w:r>
        <w:fldChar w:fldCharType="end"/>
      </w:r>
      <w:r>
        <w:fldChar w:fldCharType="end"/>
      </w:r>
    </w:p>
    <w:p w14:paraId="14BBD67E">
      <w:pPr>
        <w:pStyle w:val="17"/>
        <w:tabs>
          <w:tab w:val="right" w:leader="dot" w:pos="9118"/>
        </w:tabs>
        <w:rPr>
          <w:szCs w:val="22"/>
        </w:rPr>
      </w:pPr>
      <w:r>
        <w:fldChar w:fldCharType="begin"/>
      </w:r>
      <w:r>
        <w:instrText xml:space="preserve"> HYPERLINK \l "_Toc190445936" </w:instrText>
      </w:r>
      <w:r>
        <w:fldChar w:fldCharType="separate"/>
      </w:r>
      <w:r>
        <w:rPr>
          <w:rStyle w:val="33"/>
          <w:b/>
        </w:rPr>
        <w:t>第二章 投标文件要求</w:t>
      </w:r>
      <w:r>
        <w:tab/>
      </w:r>
      <w:r>
        <w:fldChar w:fldCharType="begin"/>
      </w:r>
      <w:r>
        <w:instrText xml:space="preserve"> PAGEREF _Toc190445936 \h </w:instrText>
      </w:r>
      <w:r>
        <w:fldChar w:fldCharType="separate"/>
      </w:r>
      <w:r>
        <w:t>4</w:t>
      </w:r>
      <w:r>
        <w:fldChar w:fldCharType="end"/>
      </w:r>
      <w:r>
        <w:fldChar w:fldCharType="end"/>
      </w:r>
    </w:p>
    <w:p w14:paraId="0520623D">
      <w:pPr>
        <w:pStyle w:val="17"/>
        <w:tabs>
          <w:tab w:val="right" w:leader="dot" w:pos="9118"/>
        </w:tabs>
        <w:rPr>
          <w:szCs w:val="22"/>
        </w:rPr>
      </w:pPr>
      <w:r>
        <w:fldChar w:fldCharType="begin"/>
      </w:r>
      <w:r>
        <w:instrText xml:space="preserve"> HYPERLINK \l "_Toc190445937" </w:instrText>
      </w:r>
      <w:r>
        <w:fldChar w:fldCharType="separate"/>
      </w:r>
      <w:r>
        <w:rPr>
          <w:rStyle w:val="33"/>
          <w:b/>
        </w:rPr>
        <w:t>第三章 评审</w:t>
      </w:r>
      <w:r>
        <w:tab/>
      </w:r>
      <w:r>
        <w:fldChar w:fldCharType="begin"/>
      </w:r>
      <w:r>
        <w:instrText xml:space="preserve"> PAGEREF _Toc190445937 \h </w:instrText>
      </w:r>
      <w:r>
        <w:fldChar w:fldCharType="separate"/>
      </w:r>
      <w:r>
        <w:t>5</w:t>
      </w:r>
      <w:r>
        <w:fldChar w:fldCharType="end"/>
      </w:r>
      <w:r>
        <w:fldChar w:fldCharType="end"/>
      </w:r>
    </w:p>
    <w:p w14:paraId="4665760E">
      <w:pPr>
        <w:pStyle w:val="17"/>
        <w:tabs>
          <w:tab w:val="right" w:leader="dot" w:pos="9118"/>
        </w:tabs>
        <w:rPr>
          <w:szCs w:val="22"/>
        </w:rPr>
      </w:pPr>
      <w:r>
        <w:fldChar w:fldCharType="begin"/>
      </w:r>
      <w:r>
        <w:instrText xml:space="preserve"> HYPERLINK \l "_Toc190445938" </w:instrText>
      </w:r>
      <w:r>
        <w:fldChar w:fldCharType="separate"/>
      </w:r>
      <w:r>
        <w:rPr>
          <w:rStyle w:val="33"/>
          <w:b/>
        </w:rPr>
        <w:t>第四章 投标文件格式与要求</w:t>
      </w:r>
      <w:r>
        <w:tab/>
      </w:r>
      <w:r>
        <w:fldChar w:fldCharType="begin"/>
      </w:r>
      <w:r>
        <w:instrText xml:space="preserve"> PAGEREF _Toc190445938 \h </w:instrText>
      </w:r>
      <w:r>
        <w:fldChar w:fldCharType="separate"/>
      </w:r>
      <w:r>
        <w:t>7</w:t>
      </w:r>
      <w:r>
        <w:fldChar w:fldCharType="end"/>
      </w:r>
      <w:r>
        <w:fldChar w:fldCharType="end"/>
      </w:r>
    </w:p>
    <w:p w14:paraId="3D6EE442">
      <w:pPr>
        <w:pStyle w:val="7"/>
      </w:pPr>
      <w:r>
        <w:rPr>
          <w:rFonts w:hint="eastAsia"/>
          <w:sz w:val="28"/>
          <w:szCs w:val="36"/>
        </w:rPr>
        <w:fldChar w:fldCharType="end"/>
      </w:r>
    </w:p>
    <w:p w14:paraId="62378467">
      <w:pPr>
        <w:ind w:firstLine="480"/>
      </w:pPr>
    </w:p>
    <w:p w14:paraId="06DF47C0"/>
    <w:p w14:paraId="3ED04C8B"/>
    <w:p w14:paraId="58154863">
      <w:pPr>
        <w:rPr>
          <w:b/>
          <w:sz w:val="36"/>
        </w:rPr>
      </w:pPr>
      <w:r>
        <w:rPr>
          <w:b/>
          <w:sz w:val="36"/>
        </w:rPr>
        <w:br w:type="page"/>
      </w:r>
    </w:p>
    <w:p w14:paraId="4386DA47">
      <w:pPr>
        <w:jc w:val="center"/>
        <w:outlineLvl w:val="0"/>
      </w:pPr>
      <w:bookmarkStart w:id="0" w:name="_Toc190445935"/>
      <w:r>
        <w:rPr>
          <w:b/>
          <w:sz w:val="36"/>
        </w:rPr>
        <w:t xml:space="preserve">第一章 </w:t>
      </w:r>
      <w:r>
        <w:rPr>
          <w:rFonts w:hint="eastAsia"/>
          <w:b/>
          <w:sz w:val="36"/>
        </w:rPr>
        <w:t>采购公告</w:t>
      </w:r>
      <w:bookmarkEnd w:id="0"/>
    </w:p>
    <w:p w14:paraId="2770A73E">
      <w:pPr>
        <w:spacing w:line="360" w:lineRule="auto"/>
        <w:ind w:firstLine="480"/>
        <w:rPr>
          <w:rFonts w:hint="eastAsia" w:ascii="宋体" w:hAnsi="宋体" w:eastAsia="宋体" w:cs="宋体"/>
          <w:sz w:val="24"/>
        </w:rPr>
      </w:pPr>
      <w:r>
        <w:rPr>
          <w:rFonts w:hint="eastAsia" w:ascii="宋体" w:hAnsi="宋体" w:eastAsia="宋体" w:cs="宋体"/>
          <w:sz w:val="24"/>
        </w:rPr>
        <w:t>现我司公开组织茂名滨海发展集团有限公司聘请2025年度资产评估机构业务项目，欢迎符合资格条件的投标人参加。</w:t>
      </w:r>
    </w:p>
    <w:p w14:paraId="27CCBA02">
      <w:pPr>
        <w:spacing w:line="360" w:lineRule="auto"/>
        <w:rPr>
          <w:rFonts w:hint="eastAsia" w:ascii="宋体" w:hAnsi="宋体" w:eastAsia="宋体" w:cs="宋体"/>
          <w:sz w:val="24"/>
        </w:rPr>
      </w:pPr>
      <w:r>
        <w:rPr>
          <w:rFonts w:hint="eastAsia" w:ascii="宋体" w:hAnsi="宋体" w:eastAsia="宋体" w:cs="宋体"/>
          <w:b/>
          <w:sz w:val="24"/>
        </w:rPr>
        <w:t>一、项目概述</w:t>
      </w:r>
    </w:p>
    <w:p w14:paraId="7408B950">
      <w:pPr>
        <w:spacing w:line="360" w:lineRule="auto"/>
        <w:ind w:firstLine="480"/>
        <w:rPr>
          <w:rFonts w:hint="eastAsia" w:ascii="宋体" w:hAnsi="宋体" w:eastAsia="宋体" w:cs="宋体"/>
          <w:sz w:val="24"/>
        </w:rPr>
      </w:pPr>
      <w:r>
        <w:rPr>
          <w:rFonts w:hint="eastAsia" w:ascii="宋体" w:hAnsi="宋体" w:eastAsia="宋体" w:cs="宋体"/>
          <w:sz w:val="24"/>
        </w:rPr>
        <w:t>项目名称：茂名滨海发展集团有限公司聘请2025年度资产评估机构业务</w:t>
      </w:r>
    </w:p>
    <w:p w14:paraId="0DBA230F">
      <w:pPr>
        <w:spacing w:line="360" w:lineRule="auto"/>
        <w:ind w:firstLine="480"/>
        <w:rPr>
          <w:rFonts w:hint="eastAsia" w:ascii="宋体" w:hAnsi="宋体" w:eastAsia="宋体" w:cs="宋体"/>
          <w:sz w:val="24"/>
          <w:lang w:val="en-US" w:eastAsia="zh-CN"/>
        </w:rPr>
      </w:pPr>
      <w:r>
        <w:rPr>
          <w:rFonts w:hint="eastAsia" w:ascii="宋体" w:hAnsi="宋体" w:eastAsia="宋体" w:cs="宋体"/>
          <w:sz w:val="24"/>
        </w:rPr>
        <w:t>采购方式：公开</w:t>
      </w:r>
      <w:r>
        <w:rPr>
          <w:rFonts w:hint="eastAsia" w:ascii="宋体" w:hAnsi="宋体" w:eastAsia="宋体" w:cs="宋体"/>
          <w:sz w:val="24"/>
          <w:lang w:val="en-US" w:eastAsia="zh-CN"/>
        </w:rPr>
        <w:t>采购</w:t>
      </w:r>
    </w:p>
    <w:p w14:paraId="38DFA6A1">
      <w:pPr>
        <w:spacing w:line="360" w:lineRule="auto"/>
        <w:ind w:firstLine="480"/>
        <w:rPr>
          <w:rFonts w:hint="eastAsia" w:ascii="宋体" w:hAnsi="宋体" w:eastAsia="宋体" w:cs="宋体"/>
          <w:sz w:val="24"/>
        </w:rPr>
      </w:pPr>
      <w:r>
        <w:rPr>
          <w:rFonts w:hint="eastAsia" w:ascii="宋体" w:hAnsi="宋体" w:eastAsia="宋体" w:cs="宋体"/>
          <w:sz w:val="24"/>
        </w:rPr>
        <w:t>采购控制价：300,000.00 元</w:t>
      </w:r>
    </w:p>
    <w:p w14:paraId="77084075">
      <w:pPr>
        <w:spacing w:line="360" w:lineRule="auto"/>
        <w:ind w:firstLine="480"/>
        <w:rPr>
          <w:rFonts w:hint="eastAsia" w:ascii="宋体" w:hAnsi="宋体" w:eastAsia="宋体" w:cs="宋体"/>
          <w:sz w:val="24"/>
        </w:rPr>
      </w:pPr>
      <w:r>
        <w:rPr>
          <w:rFonts w:hint="eastAsia" w:ascii="宋体" w:hAnsi="宋体" w:eastAsia="宋体" w:cs="宋体"/>
          <w:sz w:val="24"/>
        </w:rPr>
        <w:t>项目需求：资产评估</w:t>
      </w:r>
    </w:p>
    <w:p w14:paraId="129DBDC5">
      <w:pPr>
        <w:spacing w:line="360" w:lineRule="auto"/>
        <w:ind w:firstLine="480"/>
        <w:rPr>
          <w:rFonts w:hint="eastAsia" w:ascii="宋体" w:hAnsi="宋体" w:eastAsia="宋体" w:cs="宋体"/>
          <w:sz w:val="24"/>
        </w:rPr>
      </w:pPr>
      <w:r>
        <w:rPr>
          <w:rFonts w:hint="eastAsia" w:ascii="宋体" w:hAnsi="宋体" w:eastAsia="宋体" w:cs="宋体"/>
          <w:sz w:val="24"/>
        </w:rPr>
        <w:t>工作内容 ：本次发债评估工作将针对茂名滨海发展集团有限公司2025年的房产、土地使用权及海域使用权进行全面评估为发债工作提供服务和辅助。</w:t>
      </w:r>
    </w:p>
    <w:p w14:paraId="4885EC62">
      <w:pPr>
        <w:spacing w:line="360" w:lineRule="auto"/>
        <w:rPr>
          <w:rFonts w:hint="eastAsia" w:ascii="宋体" w:hAnsi="宋体" w:eastAsia="宋体" w:cs="宋体"/>
          <w:b/>
          <w:sz w:val="24"/>
        </w:rPr>
      </w:pPr>
      <w:r>
        <w:rPr>
          <w:rFonts w:hint="eastAsia" w:ascii="宋体" w:hAnsi="宋体" w:eastAsia="宋体" w:cs="宋体"/>
          <w:b/>
          <w:sz w:val="24"/>
        </w:rPr>
        <w:t>二、投标人的资格要求</w:t>
      </w:r>
    </w:p>
    <w:p w14:paraId="54CA3FD2">
      <w:pPr>
        <w:autoSpaceDE w:val="0"/>
        <w:autoSpaceDN w:val="0"/>
        <w:spacing w:line="360" w:lineRule="auto"/>
        <w:ind w:firstLine="480"/>
        <w:rPr>
          <w:rFonts w:hint="eastAsia" w:ascii="宋体" w:hAnsi="宋体" w:eastAsia="宋体" w:cs="宋体"/>
          <w:sz w:val="24"/>
        </w:rPr>
      </w:pPr>
      <w:r>
        <w:rPr>
          <w:rFonts w:hint="eastAsia" w:ascii="宋体" w:hAnsi="宋体" w:eastAsia="宋体" w:cs="宋体"/>
          <w:sz w:val="24"/>
        </w:rPr>
        <w:t>1.供应商必须是资产评估机构须依法设立，具有财政部门颁发的资产评估资格证书，且处于有效期内。例如，有限责任公司形式的资产评估机构，应当有8名以上注册资产评估师（含股东），注册资本为人民币30万元以上；合伙形式的资产评估机构，应当有两名以上评估师，其合伙人三分之二以上应当是具有三年以上从业经历且最近三年内未受停止从业处罚的评估师。（提供有效的营业执照或法人登记证书扫描件。如为独立法人设立的分支机构参加投标，供应商需另外提供独立法人出具的明确供应商的权限范围的唯一投标授权书，并提交独立法人有效的营业执照或法人登记证书扫描件）。</w:t>
      </w:r>
    </w:p>
    <w:p w14:paraId="6DFF3B6B">
      <w:pPr>
        <w:autoSpaceDE w:val="0"/>
        <w:autoSpaceDN w:val="0"/>
        <w:spacing w:line="360" w:lineRule="auto"/>
        <w:ind w:firstLine="480"/>
        <w:rPr>
          <w:rFonts w:hint="eastAsia" w:ascii="宋体" w:hAnsi="宋体" w:eastAsia="宋体" w:cs="宋体"/>
          <w:sz w:val="24"/>
        </w:rPr>
      </w:pPr>
      <w:r>
        <w:rPr>
          <w:rFonts w:hint="eastAsia" w:ascii="宋体" w:hAnsi="宋体" w:eastAsia="宋体" w:cs="宋体"/>
          <w:sz w:val="24"/>
        </w:rPr>
        <w:t xml:space="preserve">2.供应商应具有良好的商业信誉和健全的财务会计制度(提供2022-2024年的财务报告或财务报表)。   </w:t>
      </w:r>
    </w:p>
    <w:p w14:paraId="739779CB">
      <w:pPr>
        <w:autoSpaceDE w:val="0"/>
        <w:autoSpaceDN w:val="0"/>
        <w:spacing w:line="360" w:lineRule="auto"/>
        <w:ind w:firstLine="480"/>
        <w:rPr>
          <w:rFonts w:hint="eastAsia" w:ascii="宋体" w:hAnsi="宋体" w:eastAsia="宋体" w:cs="宋体"/>
          <w:sz w:val="24"/>
        </w:rPr>
      </w:pPr>
      <w:r>
        <w:rPr>
          <w:rFonts w:hint="eastAsia" w:ascii="宋体" w:hAnsi="宋体" w:eastAsia="宋体" w:cs="宋体"/>
          <w:sz w:val="24"/>
        </w:rPr>
        <w:t>3.供应商应机构拥有一定数量的专业评估人员。有限责任公司形式的资产评估机构，应当有8名以上注册资产评估师（含股东），注册资本为人民币30万元以上；合伙形式的资产评估机构，应当有两名以上评估师，其合伙人三分之二以上应当是具有三年以上从业经历且最近三年内未受停止从业处罚的评估师。首席合伙人和法定代表人必须是持有注册资产评估师证书的执行合伙事务的合伙人或股东。（出具的资信证明材料扫描件加盖公章）。</w:t>
      </w:r>
    </w:p>
    <w:p w14:paraId="15285FC1">
      <w:pPr>
        <w:autoSpaceDE w:val="0"/>
        <w:autoSpaceDN w:val="0"/>
        <w:spacing w:line="360" w:lineRule="auto"/>
        <w:ind w:firstLine="480"/>
        <w:rPr>
          <w:rFonts w:hint="eastAsia" w:ascii="宋体" w:hAnsi="宋体" w:eastAsia="宋体" w:cs="宋体"/>
          <w:sz w:val="24"/>
        </w:rPr>
      </w:pPr>
      <w:r>
        <w:rPr>
          <w:rFonts w:hint="eastAsia" w:ascii="宋体" w:hAnsi="宋体" w:eastAsia="宋体" w:cs="宋体"/>
          <w:sz w:val="24"/>
        </w:rPr>
        <w:t>4.供应商具有依法缴纳税收和社会保障资金的良好记录（提供报名截止日前6个月任意1个月依法缴纳税收和社会保障资金的相关材料, 如依法免税和依法不需要缴纳社会保障资金的，应提供相应证明文件）。</w:t>
      </w:r>
    </w:p>
    <w:p w14:paraId="48EE1E18">
      <w:pPr>
        <w:autoSpaceDE w:val="0"/>
        <w:autoSpaceDN w:val="0"/>
        <w:spacing w:line="360" w:lineRule="auto"/>
        <w:ind w:firstLine="480"/>
        <w:rPr>
          <w:rFonts w:hint="eastAsia" w:ascii="宋体" w:hAnsi="宋体" w:eastAsia="宋体" w:cs="宋体"/>
          <w:sz w:val="24"/>
        </w:rPr>
      </w:pPr>
      <w:r>
        <w:rPr>
          <w:rFonts w:hint="eastAsia" w:ascii="宋体" w:hAnsi="宋体" w:eastAsia="宋体" w:cs="宋体"/>
          <w:sz w:val="24"/>
        </w:rPr>
        <w:t>5.供应商在行业内具有良好的信誉，近三年内无重大违法违规行为，未受到监管部门的行政处罚或行业协会的纪律处分。未被列入“信用中国”网站（www.creditchina.gov.cn）“记录失信被执行人”或“重大税收违法案件当事人名单”或“政府采购严重违法失信行为信息记录（www.ccgp.gov.cn）”记录名单。提供证明。</w:t>
      </w:r>
    </w:p>
    <w:p w14:paraId="72055449">
      <w:pPr>
        <w:autoSpaceDE w:val="0"/>
        <w:autoSpaceDN w:val="0"/>
        <w:spacing w:line="360" w:lineRule="auto"/>
        <w:ind w:firstLine="480"/>
        <w:rPr>
          <w:rFonts w:hint="eastAsia" w:ascii="宋体" w:hAnsi="宋体" w:eastAsia="宋体" w:cs="宋体"/>
          <w:sz w:val="24"/>
        </w:rPr>
      </w:pPr>
      <w:r>
        <w:rPr>
          <w:rFonts w:hint="eastAsia" w:ascii="宋体" w:hAnsi="宋体" w:eastAsia="宋体" w:cs="宋体"/>
          <w:sz w:val="24"/>
        </w:rPr>
        <w:t>6.供应商需符合《中华人民共和国招标投标法》，满足以下条件，并提供承诺函。</w:t>
      </w:r>
    </w:p>
    <w:p w14:paraId="517F5EFE">
      <w:pPr>
        <w:autoSpaceDE w:val="0"/>
        <w:autoSpaceDN w:val="0"/>
        <w:spacing w:line="360" w:lineRule="auto"/>
        <w:ind w:firstLine="480"/>
        <w:rPr>
          <w:rFonts w:hint="eastAsia" w:ascii="宋体" w:hAnsi="宋体" w:eastAsia="宋体" w:cs="宋体"/>
          <w:sz w:val="24"/>
        </w:rPr>
      </w:pPr>
      <w:r>
        <w:rPr>
          <w:rFonts w:hint="eastAsia" w:ascii="宋体" w:hAnsi="宋体" w:eastAsia="宋体" w:cs="宋体"/>
          <w:sz w:val="24"/>
        </w:rPr>
        <w:t>（1）单位负责人为同一人或者存在直接控股、管理关系的不同供应商，不得参加同一合同项下的采购活动。（提供承诺函，格式自拟）</w:t>
      </w:r>
    </w:p>
    <w:p w14:paraId="1E6C1476">
      <w:pPr>
        <w:autoSpaceDE w:val="0"/>
        <w:autoSpaceDN w:val="0"/>
        <w:spacing w:line="360" w:lineRule="auto"/>
        <w:ind w:firstLine="480"/>
        <w:rPr>
          <w:rFonts w:hint="eastAsia" w:ascii="宋体" w:hAnsi="宋体" w:eastAsia="宋体" w:cs="宋体"/>
          <w:sz w:val="24"/>
        </w:rPr>
      </w:pPr>
      <w:r>
        <w:rPr>
          <w:rFonts w:hint="eastAsia" w:ascii="宋体" w:hAnsi="宋体" w:eastAsia="宋体" w:cs="宋体"/>
          <w:sz w:val="24"/>
        </w:rPr>
        <w:t>（2）具有履行合同所必需的服务能力。（提供承诺函，格式自拟）</w:t>
      </w:r>
    </w:p>
    <w:p w14:paraId="3359B2B5">
      <w:pPr>
        <w:autoSpaceDE w:val="0"/>
        <w:autoSpaceDN w:val="0"/>
        <w:spacing w:line="360" w:lineRule="auto"/>
        <w:ind w:firstLine="480"/>
        <w:rPr>
          <w:rFonts w:hint="eastAsia" w:ascii="宋体" w:hAnsi="宋体" w:eastAsia="宋体" w:cs="宋体"/>
          <w:sz w:val="24"/>
        </w:rPr>
      </w:pPr>
      <w:r>
        <w:rPr>
          <w:rFonts w:hint="eastAsia" w:ascii="宋体" w:hAnsi="宋体" w:eastAsia="宋体" w:cs="宋体"/>
          <w:sz w:val="24"/>
        </w:rPr>
        <w:t>（3）供应商在参加招标活动前三年内，在经营活动中没有重大违法记录。（提供承诺函，格式自拟）。</w:t>
      </w:r>
    </w:p>
    <w:p w14:paraId="13299A4E">
      <w:pPr>
        <w:autoSpaceDE w:val="0"/>
        <w:autoSpaceDN w:val="0"/>
        <w:spacing w:line="360" w:lineRule="auto"/>
        <w:ind w:firstLine="480"/>
        <w:rPr>
          <w:rFonts w:hint="eastAsia" w:ascii="宋体" w:hAnsi="宋体" w:eastAsia="宋体" w:cs="宋体"/>
          <w:sz w:val="24"/>
        </w:rPr>
      </w:pPr>
      <w:r>
        <w:rPr>
          <w:rFonts w:hint="eastAsia" w:ascii="宋体" w:hAnsi="宋体" w:eastAsia="宋体" w:cs="宋体"/>
          <w:sz w:val="24"/>
        </w:rPr>
        <w:t>（4）承诺中标后与招标人签订廉洁工作会商机制的联合声明。（提供承诺函，格式自拟）。</w:t>
      </w:r>
    </w:p>
    <w:p w14:paraId="3E115FED">
      <w:pPr>
        <w:autoSpaceDE w:val="0"/>
        <w:autoSpaceDN w:val="0"/>
        <w:spacing w:line="360" w:lineRule="auto"/>
        <w:ind w:firstLine="480"/>
        <w:rPr>
          <w:rFonts w:hint="eastAsia" w:ascii="宋体" w:hAnsi="宋体" w:eastAsia="宋体" w:cs="宋体"/>
          <w:sz w:val="24"/>
        </w:rPr>
      </w:pPr>
      <w:r>
        <w:rPr>
          <w:rFonts w:hint="eastAsia" w:ascii="宋体" w:hAnsi="宋体" w:eastAsia="宋体" w:cs="宋体"/>
          <w:sz w:val="24"/>
        </w:rPr>
        <w:t>（5）本次采购不接受联合体申请。</w:t>
      </w:r>
    </w:p>
    <w:p w14:paraId="3B99ECC7">
      <w:pPr>
        <w:autoSpaceDE w:val="0"/>
        <w:autoSpaceDN w:val="0"/>
        <w:spacing w:line="360" w:lineRule="auto"/>
        <w:ind w:firstLine="480"/>
        <w:rPr>
          <w:rFonts w:hint="eastAsia" w:ascii="宋体" w:hAnsi="宋体" w:eastAsia="宋体" w:cs="宋体"/>
          <w:sz w:val="24"/>
        </w:rPr>
      </w:pPr>
      <w:r>
        <w:rPr>
          <w:rFonts w:hint="eastAsia" w:ascii="宋体" w:hAnsi="宋体" w:eastAsia="宋体" w:cs="宋体"/>
          <w:sz w:val="24"/>
        </w:rPr>
        <w:t>7.供应商应具备有效的主管部门颁发的资产评估备案证明，并向财政部、证监会完成从事证券服务业务备案，具有证券服务评估资质。</w:t>
      </w:r>
    </w:p>
    <w:p w14:paraId="1B1D546E">
      <w:pPr>
        <w:autoSpaceDE w:val="0"/>
        <w:autoSpaceDN w:val="0"/>
        <w:spacing w:line="360" w:lineRule="auto"/>
        <w:ind w:firstLine="480"/>
        <w:rPr>
          <w:rFonts w:hint="eastAsia" w:ascii="宋体" w:hAnsi="宋体" w:eastAsia="宋体" w:cs="宋体"/>
          <w:sz w:val="24"/>
        </w:rPr>
      </w:pPr>
      <w:r>
        <w:rPr>
          <w:rFonts w:hint="eastAsia" w:ascii="宋体" w:hAnsi="宋体" w:eastAsia="宋体" w:cs="宋体"/>
          <w:sz w:val="24"/>
        </w:rPr>
        <w:t>8.近三年内完成过一定数量和规模的私募债相关资产评估项目，或在其他类似债券发行项目中承担过资产评估工作。</w:t>
      </w:r>
    </w:p>
    <w:p w14:paraId="4F3CB409">
      <w:pPr>
        <w:spacing w:line="360" w:lineRule="auto"/>
        <w:rPr>
          <w:rFonts w:hint="eastAsia" w:ascii="宋体" w:hAnsi="宋体" w:eastAsia="宋体" w:cs="宋体"/>
          <w:sz w:val="24"/>
        </w:rPr>
      </w:pPr>
      <w:r>
        <w:rPr>
          <w:rFonts w:hint="eastAsia" w:ascii="宋体" w:hAnsi="宋体" w:eastAsia="宋体" w:cs="宋体"/>
          <w:b/>
          <w:sz w:val="24"/>
        </w:rPr>
        <w:t>三、获取采购文件</w:t>
      </w:r>
    </w:p>
    <w:p w14:paraId="66D3A053">
      <w:pPr>
        <w:spacing w:line="360" w:lineRule="auto"/>
        <w:ind w:firstLine="480"/>
        <w:rPr>
          <w:rFonts w:hint="eastAsia" w:ascii="宋体" w:hAnsi="宋体" w:eastAsia="宋体" w:cs="宋体"/>
          <w:sz w:val="24"/>
        </w:rPr>
      </w:pPr>
      <w:r>
        <w:rPr>
          <w:rFonts w:hint="eastAsia" w:ascii="宋体" w:hAnsi="宋体" w:eastAsia="宋体" w:cs="宋体"/>
          <w:sz w:val="24"/>
        </w:rPr>
        <w:t>本采购文件在茂名滨海发展集团官网进行公告、获取（</w:t>
      </w:r>
      <w:r>
        <w:rPr>
          <w:rFonts w:ascii="宋体" w:hAnsi="宋体" w:eastAsia="宋体" w:cs="宋体"/>
          <w:sz w:val="24"/>
        </w:rPr>
        <w:t>http://www.mmmbf.com/</w:t>
      </w:r>
      <w:r>
        <w:rPr>
          <w:rFonts w:hint="eastAsia" w:ascii="宋体" w:hAnsi="宋体" w:eastAsia="宋体" w:cs="宋体"/>
          <w:sz w:val="24"/>
        </w:rPr>
        <w:t>）。</w:t>
      </w:r>
    </w:p>
    <w:p w14:paraId="5FBA6EEF">
      <w:pPr>
        <w:spacing w:line="360" w:lineRule="auto"/>
        <w:rPr>
          <w:rFonts w:hint="eastAsia" w:ascii="宋体" w:hAnsi="宋体" w:eastAsia="宋体" w:cs="宋体"/>
          <w:sz w:val="24"/>
        </w:rPr>
      </w:pPr>
      <w:r>
        <w:rPr>
          <w:rFonts w:hint="eastAsia" w:ascii="宋体" w:hAnsi="宋体" w:eastAsia="宋体" w:cs="宋体"/>
          <w:b/>
          <w:sz w:val="24"/>
        </w:rPr>
        <w:t>四、提交投标文件截止时间、开启时间和地点：</w:t>
      </w:r>
    </w:p>
    <w:p w14:paraId="0E3EBE6A">
      <w:pPr>
        <w:spacing w:line="360" w:lineRule="auto"/>
        <w:ind w:firstLine="480"/>
        <w:rPr>
          <w:rFonts w:hint="eastAsia" w:ascii="宋体" w:hAnsi="宋体" w:eastAsia="宋体" w:cs="宋体"/>
          <w:sz w:val="24"/>
        </w:rPr>
      </w:pPr>
      <w:r>
        <w:rPr>
          <w:rFonts w:hint="eastAsia" w:ascii="宋体" w:hAnsi="宋体" w:eastAsia="宋体" w:cs="宋体"/>
          <w:sz w:val="24"/>
          <w:lang w:val="en-US" w:eastAsia="zh-CN"/>
        </w:rPr>
        <w:t>1.获取信息：</w:t>
      </w:r>
      <w:r>
        <w:rPr>
          <w:rFonts w:hint="eastAsia" w:ascii="宋体" w:hAnsi="宋体" w:eastAsia="宋体" w:cs="宋体"/>
          <w:sz w:val="24"/>
        </w:rPr>
        <w:t>获取采购文件及提交投标文件时间：2026年2月26日17时00分-2026年3月2日17时00分（北京时间）</w:t>
      </w:r>
    </w:p>
    <w:p w14:paraId="75A66AF1">
      <w:pPr>
        <w:spacing w:line="360" w:lineRule="auto"/>
        <w:ind w:firstLine="48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提交地点：</w:t>
      </w:r>
      <w:r>
        <w:fldChar w:fldCharType="begin"/>
      </w:r>
      <w:r>
        <w:instrText xml:space="preserve"> HYPERLINK "mailto:报名资料整理发送至公司收件邮箱323431302@qq.com" </w:instrText>
      </w:r>
      <w:r>
        <w:fldChar w:fldCharType="separate"/>
      </w:r>
      <w:r>
        <w:rPr>
          <w:rStyle w:val="33"/>
          <w:rFonts w:hint="eastAsia" w:ascii="宋体" w:hAnsi="宋体" w:eastAsia="宋体" w:cs="宋体"/>
          <w:sz w:val="24"/>
        </w:rPr>
        <w:t>报名资料整理发送至公司收件邮箱</w:t>
      </w:r>
      <w:r>
        <w:rPr>
          <w:rStyle w:val="33"/>
          <w:rFonts w:ascii="宋体" w:hAnsi="宋体" w:eastAsia="宋体" w:cs="宋体"/>
          <w:sz w:val="24"/>
        </w:rPr>
        <w:t>323431302@qq.com</w:t>
      </w:r>
      <w:r>
        <w:rPr>
          <w:rStyle w:val="33"/>
          <w:rFonts w:ascii="宋体" w:hAnsi="宋体" w:eastAsia="宋体" w:cs="宋体"/>
          <w:sz w:val="24"/>
        </w:rPr>
        <w:fldChar w:fldCharType="end"/>
      </w:r>
      <w:r>
        <w:rPr>
          <w:rFonts w:hint="eastAsia" w:ascii="宋体" w:hAnsi="宋体" w:eastAsia="宋体" w:cs="宋体"/>
          <w:sz w:val="24"/>
        </w:rPr>
        <w:t>，不按规定时间报名视为无效报名。</w:t>
      </w:r>
    </w:p>
    <w:p w14:paraId="0E89E34F">
      <w:pPr>
        <w:spacing w:line="360" w:lineRule="auto"/>
        <w:ind w:firstLine="480"/>
        <w:rPr>
          <w:rFonts w:hint="default" w:ascii="宋体" w:hAnsi="宋体" w:eastAsia="宋体" w:cs="宋体"/>
          <w:sz w:val="24"/>
          <w:lang w:val="en-US" w:eastAsia="zh-CN"/>
        </w:rPr>
      </w:pPr>
      <w:r>
        <w:rPr>
          <w:rFonts w:hint="eastAsia" w:ascii="宋体" w:hAnsi="宋体" w:eastAsia="宋体" w:cs="宋体"/>
          <w:sz w:val="24"/>
          <w:lang w:val="en-US" w:eastAsia="zh-CN"/>
        </w:rPr>
        <w:t>3.开标时间：2026年3月3日09:30，开标地点：茂名市电白区电城镇东湾绿城</w:t>
      </w:r>
      <w:bookmarkStart w:id="23" w:name="_GoBack"/>
      <w:bookmarkEnd w:id="23"/>
    </w:p>
    <w:p w14:paraId="0C618F6C">
      <w:pPr>
        <w:spacing w:line="360" w:lineRule="auto"/>
        <w:rPr>
          <w:rFonts w:hint="eastAsia" w:ascii="宋体" w:hAnsi="宋体" w:eastAsia="宋体" w:cs="宋体"/>
          <w:sz w:val="24"/>
        </w:rPr>
      </w:pPr>
      <w:r>
        <w:rPr>
          <w:rFonts w:hint="eastAsia" w:ascii="宋体" w:hAnsi="宋体" w:eastAsia="宋体" w:cs="宋体"/>
          <w:b/>
          <w:sz w:val="24"/>
        </w:rPr>
        <w:t>五、公告期限、发布公告的媒介：</w:t>
      </w:r>
    </w:p>
    <w:p w14:paraId="15C7DD0E">
      <w:pPr>
        <w:spacing w:line="360" w:lineRule="auto"/>
        <w:ind w:firstLine="480"/>
        <w:rPr>
          <w:rFonts w:hint="eastAsia" w:ascii="宋体" w:hAnsi="宋体" w:eastAsia="宋体" w:cs="宋体"/>
          <w:sz w:val="24"/>
        </w:rPr>
      </w:pPr>
      <w:r>
        <w:rPr>
          <w:rFonts w:hint="eastAsia" w:ascii="宋体" w:hAnsi="宋体" w:eastAsia="宋体" w:cs="宋体"/>
          <w:sz w:val="24"/>
        </w:rPr>
        <w:t>1.公告期限：自本公告发布之日起不得少于3个工作日。</w:t>
      </w:r>
    </w:p>
    <w:p w14:paraId="2F782C1E">
      <w:pPr>
        <w:spacing w:line="360" w:lineRule="auto"/>
        <w:ind w:firstLine="480"/>
        <w:rPr>
          <w:rFonts w:hint="eastAsia" w:ascii="宋体" w:hAnsi="宋体" w:eastAsia="宋体" w:cs="宋体"/>
          <w:sz w:val="24"/>
        </w:rPr>
      </w:pPr>
      <w:r>
        <w:rPr>
          <w:rFonts w:hint="eastAsia" w:ascii="宋体" w:hAnsi="宋体" w:eastAsia="宋体" w:cs="宋体"/>
          <w:sz w:val="24"/>
        </w:rPr>
        <w:t>2.发布公告的媒介：茂名滨海发展集团官网（</w:t>
      </w:r>
      <w:r>
        <w:rPr>
          <w:rFonts w:ascii="宋体" w:hAnsi="宋体" w:eastAsia="宋体" w:cs="宋体"/>
          <w:sz w:val="24"/>
        </w:rPr>
        <w:t>http://www.mmmbf.com/</w:t>
      </w:r>
      <w:r>
        <w:rPr>
          <w:rFonts w:hint="eastAsia" w:ascii="宋体" w:hAnsi="宋体" w:eastAsia="宋体" w:cs="宋体"/>
          <w:sz w:val="24"/>
        </w:rPr>
        <w:t>）。</w:t>
      </w:r>
    </w:p>
    <w:p w14:paraId="3041400F">
      <w:pPr>
        <w:spacing w:line="360" w:lineRule="auto"/>
        <w:rPr>
          <w:rFonts w:hint="eastAsia" w:ascii="宋体" w:hAnsi="宋体" w:eastAsia="宋体" w:cs="宋体"/>
          <w:sz w:val="24"/>
        </w:rPr>
      </w:pPr>
      <w:r>
        <w:rPr>
          <w:rFonts w:hint="eastAsia" w:ascii="宋体" w:hAnsi="宋体" w:eastAsia="宋体" w:cs="宋体"/>
          <w:b/>
          <w:sz w:val="24"/>
        </w:rPr>
        <w:t>六、本项目联系方式：</w:t>
      </w:r>
    </w:p>
    <w:p w14:paraId="52434C06">
      <w:pPr>
        <w:spacing w:line="360" w:lineRule="auto"/>
        <w:ind w:firstLine="480"/>
        <w:rPr>
          <w:rFonts w:hint="eastAsia" w:ascii="宋体" w:hAnsi="宋体" w:eastAsia="宋体" w:cs="宋体"/>
          <w:sz w:val="24"/>
        </w:rPr>
      </w:pPr>
      <w:r>
        <w:rPr>
          <w:rFonts w:hint="eastAsia" w:ascii="宋体" w:hAnsi="宋体" w:eastAsia="宋体" w:cs="宋体"/>
          <w:sz w:val="24"/>
        </w:rPr>
        <w:t>名称：茂名滨海发展集团有限公司</w:t>
      </w:r>
    </w:p>
    <w:p w14:paraId="7AC87471">
      <w:pPr>
        <w:spacing w:line="360" w:lineRule="auto"/>
        <w:ind w:firstLine="480"/>
        <w:rPr>
          <w:rFonts w:hint="eastAsia" w:ascii="宋体" w:hAnsi="宋体" w:eastAsia="宋体" w:cs="宋体"/>
          <w:sz w:val="24"/>
        </w:rPr>
      </w:pPr>
      <w:r>
        <w:rPr>
          <w:rFonts w:hint="eastAsia" w:ascii="宋体" w:hAnsi="宋体" w:eastAsia="宋体" w:cs="宋体"/>
          <w:sz w:val="24"/>
        </w:rPr>
        <w:t>联系人：石先生</w:t>
      </w:r>
    </w:p>
    <w:p w14:paraId="77281353">
      <w:pPr>
        <w:spacing w:line="360" w:lineRule="auto"/>
        <w:ind w:firstLine="480"/>
        <w:rPr>
          <w:rFonts w:hint="eastAsia" w:ascii="宋体" w:hAnsi="宋体" w:eastAsia="宋体" w:cs="宋体"/>
          <w:sz w:val="24"/>
        </w:rPr>
      </w:pPr>
      <w:r>
        <w:rPr>
          <w:rFonts w:hint="eastAsia" w:ascii="宋体" w:hAnsi="宋体" w:eastAsia="宋体" w:cs="宋体"/>
          <w:sz w:val="24"/>
        </w:rPr>
        <w:t>联系方式： 0668-5994690</w:t>
      </w:r>
    </w:p>
    <w:p w14:paraId="577A5628">
      <w:pPr>
        <w:spacing w:line="360" w:lineRule="auto"/>
        <w:ind w:firstLine="480"/>
        <w:rPr>
          <w:rFonts w:hint="eastAsia" w:ascii="宋体" w:hAnsi="宋体" w:eastAsia="宋体" w:cs="宋体"/>
          <w:sz w:val="24"/>
        </w:rPr>
      </w:pPr>
    </w:p>
    <w:p w14:paraId="0B4811E1">
      <w:pPr>
        <w:spacing w:line="360" w:lineRule="auto"/>
        <w:jc w:val="right"/>
        <w:rPr>
          <w:rFonts w:hint="eastAsia" w:ascii="宋体" w:hAnsi="宋体" w:eastAsia="宋体" w:cs="宋体"/>
          <w:sz w:val="24"/>
        </w:rPr>
      </w:pPr>
    </w:p>
    <w:p w14:paraId="66E293F1">
      <w:pPr>
        <w:spacing w:line="360" w:lineRule="auto"/>
        <w:jc w:val="right"/>
        <w:rPr>
          <w:rFonts w:hint="eastAsia" w:ascii="宋体" w:hAnsi="宋体" w:eastAsia="宋体" w:cs="宋体"/>
          <w:sz w:val="24"/>
        </w:rPr>
      </w:pPr>
      <w:r>
        <w:rPr>
          <w:rFonts w:hint="eastAsia" w:ascii="宋体" w:hAnsi="宋体" w:eastAsia="宋体" w:cs="宋体"/>
          <w:sz w:val="24"/>
        </w:rPr>
        <w:t>发布日期：2026年2月26日</w:t>
      </w:r>
    </w:p>
    <w:p w14:paraId="1D526F07"/>
    <w:p w14:paraId="7E7A1749">
      <w:pPr>
        <w:rPr>
          <w:b/>
          <w:sz w:val="36"/>
        </w:rPr>
      </w:pPr>
      <w:r>
        <w:rPr>
          <w:b/>
          <w:sz w:val="36"/>
        </w:rPr>
        <w:br w:type="page"/>
      </w:r>
    </w:p>
    <w:p w14:paraId="2CDC511E">
      <w:pPr>
        <w:jc w:val="center"/>
        <w:outlineLvl w:val="0"/>
      </w:pPr>
      <w:bookmarkStart w:id="1" w:name="_Toc190445936"/>
      <w:r>
        <w:rPr>
          <w:b/>
          <w:sz w:val="36"/>
        </w:rPr>
        <w:t xml:space="preserve">第二章 </w:t>
      </w:r>
      <w:r>
        <w:rPr>
          <w:rFonts w:hint="eastAsia"/>
          <w:b/>
          <w:sz w:val="36"/>
        </w:rPr>
        <w:t>投标文件要求</w:t>
      </w:r>
      <w:bookmarkEnd w:id="1"/>
    </w:p>
    <w:p w14:paraId="1B20C0A5">
      <w:pPr>
        <w:tabs>
          <w:tab w:val="left" w:pos="2340"/>
        </w:tabs>
        <w:adjustRightInd w:val="0"/>
        <w:snapToGrid w:val="0"/>
        <w:spacing w:line="360" w:lineRule="auto"/>
        <w:rPr>
          <w:rFonts w:hint="eastAsia" w:ascii="宋体" w:hAnsi="宋体" w:eastAsia="宋体" w:cs="宋体"/>
          <w:b/>
          <w:sz w:val="24"/>
        </w:rPr>
      </w:pPr>
      <w:bookmarkStart w:id="2" w:name="_Toc7356"/>
      <w:bookmarkStart w:id="3" w:name="_Toc6313"/>
      <w:bookmarkStart w:id="4" w:name="_Toc13428"/>
      <w:bookmarkStart w:id="5" w:name="_Toc4007"/>
      <w:bookmarkStart w:id="6" w:name="_Toc6470"/>
      <w:bookmarkStart w:id="7" w:name="_Toc31089"/>
      <w:bookmarkStart w:id="8" w:name="_Toc24431"/>
      <w:bookmarkStart w:id="9" w:name="_Toc12687"/>
      <w:bookmarkStart w:id="10" w:name="_Toc25313"/>
      <w:bookmarkStart w:id="11" w:name="_Toc13121"/>
      <w:bookmarkStart w:id="12" w:name="_Toc13219"/>
      <w:bookmarkStart w:id="13" w:name="_Toc18782"/>
      <w:bookmarkStart w:id="14" w:name="_Toc16649"/>
      <w:bookmarkStart w:id="15" w:name="_Toc15688"/>
      <w:bookmarkStart w:id="16" w:name="_Toc20643"/>
      <w:bookmarkStart w:id="17" w:name="_Toc395800719"/>
      <w:bookmarkStart w:id="18" w:name="_Toc395800912"/>
      <w:bookmarkStart w:id="19" w:name="_Toc10057"/>
      <w:bookmarkStart w:id="20" w:name="_Toc15811"/>
      <w:r>
        <w:rPr>
          <w:rFonts w:hint="eastAsia" w:ascii="宋体" w:hAnsi="宋体" w:eastAsia="宋体" w:cs="宋体"/>
          <w:b/>
          <w:sz w:val="24"/>
        </w:rPr>
        <w:t>一、投标文件的组成</w:t>
      </w:r>
    </w:p>
    <w:p w14:paraId="528B3E20">
      <w:pPr>
        <w:overflowPunct w:val="0"/>
        <w:snapToGrid w:val="0"/>
        <w:spacing w:line="360" w:lineRule="auto"/>
        <w:ind w:firstLine="480" w:firstLineChars="200"/>
        <w:rPr>
          <w:rFonts w:hint="eastAsia" w:asciiTheme="minorEastAsia" w:hAnsiTheme="minorEastAsia"/>
          <w:sz w:val="24"/>
        </w:rPr>
      </w:pPr>
      <w:r>
        <w:rPr>
          <w:rFonts w:asciiTheme="minorEastAsia" w:hAnsiTheme="minorEastAsia"/>
          <w:sz w:val="24"/>
        </w:rPr>
        <w:t>1.企业营业执照有关复印件（加盖公章）</w:t>
      </w:r>
      <w:r>
        <w:rPr>
          <w:rFonts w:hint="eastAsia" w:asciiTheme="minorEastAsia" w:hAnsiTheme="minorEastAsia"/>
          <w:sz w:val="24"/>
        </w:rPr>
        <w:t>。</w:t>
      </w:r>
    </w:p>
    <w:p w14:paraId="42DB36B4">
      <w:pPr>
        <w:overflowPunct w:val="0"/>
        <w:snapToGrid w:val="0"/>
        <w:spacing w:line="360" w:lineRule="auto"/>
        <w:ind w:firstLine="480" w:firstLineChars="200"/>
        <w:rPr>
          <w:rFonts w:hint="eastAsia" w:asciiTheme="minorEastAsia" w:hAnsiTheme="minorEastAsia"/>
          <w:color w:val="000000" w:themeColor="text1"/>
          <w:sz w:val="24"/>
          <w14:textFill>
            <w14:solidFill>
              <w14:schemeClr w14:val="tx1"/>
            </w14:solidFill>
          </w14:textFill>
        </w:rPr>
      </w:pPr>
      <w:r>
        <w:rPr>
          <w:rFonts w:asciiTheme="minorEastAsia" w:hAnsiTheme="minorEastAsia"/>
          <w:sz w:val="24"/>
        </w:rPr>
        <w:t>2.企业</w:t>
      </w:r>
      <w:r>
        <w:rPr>
          <w:rFonts w:hint="eastAsia" w:asciiTheme="minorEastAsia" w:hAnsiTheme="minorEastAsia"/>
          <w:sz w:val="24"/>
        </w:rPr>
        <w:t>自身情况及服务方案</w:t>
      </w:r>
      <w:r>
        <w:rPr>
          <w:rFonts w:hint="eastAsia" w:asciiTheme="minorEastAsia" w:hAnsiTheme="minorEastAsia"/>
          <w:color w:val="000000" w:themeColor="text1"/>
          <w:sz w:val="24"/>
          <w14:textFill>
            <w14:solidFill>
              <w14:schemeClr w14:val="tx1"/>
            </w14:solidFill>
          </w14:textFill>
        </w:rPr>
        <w:t>的介绍及佐证资料：</w:t>
      </w:r>
    </w:p>
    <w:p w14:paraId="6ECE7280">
      <w:pPr>
        <w:overflowPunct w:val="0"/>
        <w:snapToGrid w:val="0"/>
        <w:spacing w:line="360" w:lineRule="auto"/>
        <w:ind w:firstLine="480" w:firstLineChars="200"/>
        <w:rPr>
          <w:rFonts w:hint="eastAsia" w:asciiTheme="minorEastAsia" w:hAnsiTheme="minorEastAsia"/>
          <w:sz w:val="24"/>
        </w:rPr>
      </w:pPr>
      <w:r>
        <w:rPr>
          <w:rFonts w:hint="eastAsia" w:asciiTheme="minorEastAsia" w:hAnsiTheme="minorEastAsia"/>
          <w:sz w:val="24"/>
        </w:rPr>
        <w:t>（1）符合投标人资质要求的盖章版佐证材料。</w:t>
      </w:r>
    </w:p>
    <w:p w14:paraId="010B93E9">
      <w:pPr>
        <w:overflowPunct w:val="0"/>
        <w:snapToGrid w:val="0"/>
        <w:spacing w:line="360" w:lineRule="auto"/>
        <w:ind w:firstLine="480" w:firstLineChars="200"/>
        <w:rPr>
          <w:rFonts w:hint="eastAsia" w:asciiTheme="minorEastAsia" w:hAnsiTheme="minorEastAsia"/>
          <w:sz w:val="24"/>
        </w:rPr>
      </w:pPr>
      <w:r>
        <w:rPr>
          <w:rFonts w:hint="eastAsia" w:asciiTheme="minorEastAsia" w:hAnsiTheme="minorEastAsia"/>
          <w:sz w:val="24"/>
        </w:rPr>
        <w:t>（2）项目服务方案。</w:t>
      </w:r>
    </w:p>
    <w:p w14:paraId="34360B6A">
      <w:pPr>
        <w:overflowPunct w:val="0"/>
        <w:snapToGrid w:val="0"/>
        <w:spacing w:line="360" w:lineRule="auto"/>
        <w:ind w:firstLine="482" w:firstLineChars="200"/>
        <w:rPr>
          <w:rFonts w:hint="eastAsia" w:asciiTheme="minorEastAsia" w:hAnsiTheme="minorEastAsia"/>
          <w:b/>
          <w:bCs/>
          <w:sz w:val="24"/>
        </w:rPr>
      </w:pPr>
      <w:r>
        <w:rPr>
          <w:rFonts w:hint="eastAsia" w:asciiTheme="minorEastAsia" w:hAnsiTheme="minorEastAsia"/>
          <w:b/>
          <w:bCs/>
          <w:sz w:val="24"/>
        </w:rPr>
        <w:t>（3）近三年内完成过一定数量和规模的私募债相关资产评估项目，或在其他类似债券发行项目中承担过资产评估工作。</w:t>
      </w:r>
    </w:p>
    <w:p w14:paraId="1860BD13">
      <w:pPr>
        <w:overflowPunct w:val="0"/>
        <w:snapToGrid w:val="0"/>
        <w:spacing w:line="360" w:lineRule="auto"/>
        <w:ind w:firstLine="480" w:firstLineChars="200"/>
        <w:rPr>
          <w:rFonts w:hint="eastAsia" w:asciiTheme="minorEastAsia" w:hAnsiTheme="minorEastAsia"/>
          <w:sz w:val="24"/>
        </w:rPr>
      </w:pPr>
      <w:r>
        <w:rPr>
          <w:rFonts w:asciiTheme="minorEastAsia" w:hAnsiTheme="minorEastAsia"/>
          <w:sz w:val="24"/>
        </w:rPr>
        <w:t>3.报价函及明细表，格式见附件（加盖公章）</w:t>
      </w:r>
      <w:r>
        <w:rPr>
          <w:rFonts w:hint="eastAsia" w:asciiTheme="minorEastAsia" w:hAnsiTheme="minorEastAsia"/>
          <w:sz w:val="24"/>
        </w:rPr>
        <w:t>。</w:t>
      </w:r>
    </w:p>
    <w:p w14:paraId="52423F88">
      <w:pPr>
        <w:spacing w:line="360" w:lineRule="auto"/>
        <w:ind w:firstLine="480" w:firstLineChars="200"/>
        <w:rPr>
          <w:rFonts w:hint="eastAsia" w:asciiTheme="minorEastAsia" w:hAnsiTheme="minorEastAsia"/>
          <w:sz w:val="24"/>
          <w:lang w:eastAsia="zh"/>
        </w:rPr>
      </w:pPr>
      <w:r>
        <w:rPr>
          <w:rFonts w:hint="eastAsia" w:asciiTheme="minorEastAsia" w:hAnsiTheme="minorEastAsia"/>
          <w:sz w:val="24"/>
          <w:lang w:eastAsia="zh"/>
        </w:rPr>
        <w:t>4.自2022年起，在经营活动中没有重大违法记录（提供承诺函，格式自拟</w:t>
      </w:r>
      <w:r>
        <w:rPr>
          <w:rFonts w:hint="eastAsia" w:asciiTheme="minorEastAsia" w:hAnsiTheme="minorEastAsia"/>
          <w:sz w:val="24"/>
        </w:rPr>
        <w:t>，</w:t>
      </w:r>
      <w:r>
        <w:rPr>
          <w:rFonts w:hint="eastAsia" w:asciiTheme="minorEastAsia" w:hAnsiTheme="minorEastAsia"/>
          <w:sz w:val="24"/>
          <w:lang w:eastAsia="zh"/>
        </w:rPr>
        <w:t>加盖公章）。</w:t>
      </w:r>
    </w:p>
    <w:p w14:paraId="528C1A63">
      <w:pPr>
        <w:spacing w:line="360" w:lineRule="auto"/>
        <w:ind w:firstLine="480" w:firstLineChars="200"/>
        <w:rPr>
          <w:rFonts w:hint="eastAsia" w:asciiTheme="minorEastAsia" w:hAnsiTheme="minorEastAsia"/>
          <w:sz w:val="24"/>
        </w:rPr>
      </w:pPr>
      <w:r>
        <w:rPr>
          <w:rFonts w:hint="eastAsia" w:asciiTheme="minorEastAsia" w:hAnsiTheme="minorEastAsia"/>
          <w:sz w:val="24"/>
        </w:rPr>
        <w:t>5.自2021年以来没有因违规执业受到资产评估师协会的行业惩戒</w:t>
      </w:r>
      <w:r>
        <w:rPr>
          <w:rFonts w:hint="eastAsia" w:asciiTheme="minorEastAsia" w:hAnsiTheme="minorEastAsia"/>
          <w:sz w:val="24"/>
          <w:lang w:eastAsia="zh"/>
        </w:rPr>
        <w:t>提供承诺函，格式自拟</w:t>
      </w:r>
      <w:r>
        <w:rPr>
          <w:rFonts w:hint="eastAsia" w:asciiTheme="minorEastAsia" w:hAnsiTheme="minorEastAsia"/>
          <w:sz w:val="24"/>
        </w:rPr>
        <w:t>，</w:t>
      </w:r>
      <w:r>
        <w:rPr>
          <w:rFonts w:hint="eastAsia" w:asciiTheme="minorEastAsia" w:hAnsiTheme="minorEastAsia"/>
          <w:sz w:val="24"/>
          <w:lang w:eastAsia="zh"/>
        </w:rPr>
        <w:t>加盖公章）。</w:t>
      </w:r>
    </w:p>
    <w:p w14:paraId="63DD1F2E">
      <w:pPr>
        <w:pStyle w:val="20"/>
        <w:spacing w:line="360" w:lineRule="auto"/>
        <w:ind w:left="420" w:right="17"/>
        <w:rPr>
          <w:rFonts w:hint="eastAsia" w:cs="仿宋_GB2312" w:asciiTheme="minorEastAsia" w:hAnsiTheme="minorEastAsia" w:eastAsiaTheme="minorEastAsia"/>
          <w:color w:val="000000" w:themeColor="text1"/>
          <w:sz w:val="24"/>
          <w14:textFill>
            <w14:solidFill>
              <w14:schemeClr w14:val="tx1"/>
            </w14:solidFill>
          </w14:textFill>
        </w:rPr>
      </w:pPr>
      <w:r>
        <w:rPr>
          <w:rFonts w:hint="eastAsia" w:cs="仿宋_GB2312" w:asciiTheme="minorEastAsia" w:hAnsiTheme="minorEastAsia" w:eastAsiaTheme="minorEastAsia"/>
          <w:sz w:val="24"/>
        </w:rPr>
        <w:t>6.其他：</w:t>
      </w:r>
      <w:r>
        <w:rPr>
          <w:rFonts w:hint="eastAsia" w:ascii="宋体" w:hAnsi="宋体"/>
          <w:sz w:val="24"/>
        </w:rPr>
        <w:t>投标文件以电子版盖章形式投递至指定邮箱视为投标成功。</w:t>
      </w:r>
      <w:r>
        <w:rPr>
          <w:rFonts w:hint="eastAsia" w:cs="仿宋_GB2312" w:asciiTheme="minorEastAsia" w:hAnsiTheme="minorEastAsia" w:eastAsiaTheme="minorEastAsia"/>
          <w:sz w:val="24"/>
        </w:rPr>
        <w:t>以上资料均需提供5</w:t>
      </w:r>
      <w:r>
        <w:rPr>
          <w:rFonts w:hint="eastAsia" w:cs="仿宋_GB2312" w:asciiTheme="minorEastAsia" w:hAnsiTheme="minorEastAsia" w:eastAsiaTheme="minorEastAsia"/>
          <w:color w:val="000000" w:themeColor="text1"/>
          <w:sz w:val="24"/>
          <w14:textFill>
            <w14:solidFill>
              <w14:schemeClr w14:val="tx1"/>
            </w14:solidFill>
          </w14:textFill>
        </w:rPr>
        <w:t>份</w:t>
      </w:r>
      <w:r>
        <w:rPr>
          <w:rFonts w:hint="eastAsia" w:cs="仿宋_GB2312" w:asciiTheme="minorEastAsia" w:hAnsiTheme="minorEastAsia" w:eastAsiaTheme="minorEastAsia"/>
          <w:bCs/>
          <w:color w:val="000000" w:themeColor="text1"/>
          <w:sz w:val="24"/>
          <w14:textFill>
            <w14:solidFill>
              <w14:schemeClr w14:val="tx1"/>
            </w14:solidFill>
          </w14:textFill>
        </w:rPr>
        <w:t>纸质盖章原件，</w:t>
      </w:r>
      <w:r>
        <w:rPr>
          <w:rFonts w:hint="eastAsia" w:ascii="宋体" w:hAnsi="宋体"/>
          <w:sz w:val="24"/>
        </w:rPr>
        <w:t>纸质原件在开标前送达开标地址（</w:t>
      </w:r>
      <w:r>
        <w:rPr>
          <w:rFonts w:hint="eastAsia" w:ascii="宋体" w:hAnsi="宋体" w:cs="宋体"/>
          <w:sz w:val="24"/>
        </w:rPr>
        <w:t>茂名市滨海新区盐场路盐场办公大楼4楼滨海发展集团</w:t>
      </w:r>
      <w:r>
        <w:rPr>
          <w:rFonts w:hint="eastAsia" w:ascii="宋体" w:hAnsi="宋体"/>
          <w:sz w:val="24"/>
        </w:rPr>
        <w:t>）</w:t>
      </w:r>
      <w:r>
        <w:rPr>
          <w:rFonts w:hint="eastAsia" w:cs="仿宋_GB2312" w:asciiTheme="minorEastAsia" w:hAnsiTheme="minorEastAsia" w:eastAsiaTheme="minorEastAsia"/>
          <w:color w:val="000000" w:themeColor="text1"/>
          <w:sz w:val="24"/>
          <w14:textFill>
            <w14:solidFill>
              <w14:schemeClr w14:val="tx1"/>
            </w14:solidFill>
          </w14:textFill>
        </w:rPr>
        <w:t>。</w:t>
      </w:r>
    </w:p>
    <w:p w14:paraId="35021209">
      <w:pPr>
        <w:pStyle w:val="63"/>
        <w:numPr>
          <w:ilvl w:val="0"/>
          <w:numId w:val="3"/>
        </w:numPr>
        <w:tabs>
          <w:tab w:val="left" w:pos="2340"/>
        </w:tabs>
        <w:adjustRightInd w:val="0"/>
        <w:snapToGrid w:val="0"/>
        <w:spacing w:line="360" w:lineRule="auto"/>
        <w:ind w:firstLineChars="0"/>
        <w:rPr>
          <w:rFonts w:hint="eastAsia" w:ascii="宋体" w:hAnsi="宋体" w:eastAsia="宋体" w:cs="宋体"/>
          <w:b/>
          <w:sz w:val="24"/>
        </w:rPr>
      </w:pPr>
      <w:r>
        <w:rPr>
          <w:rFonts w:hint="eastAsia" w:ascii="宋体" w:hAnsi="宋体" w:eastAsia="宋体" w:cs="宋体"/>
          <w:b/>
          <w:sz w:val="24"/>
        </w:rPr>
        <w:t>投标文件注意事项</w:t>
      </w:r>
    </w:p>
    <w:p w14:paraId="2B7AB372">
      <w:pPr>
        <w:spacing w:line="360" w:lineRule="auto"/>
        <w:ind w:firstLine="420" w:firstLineChars="200"/>
        <w:jc w:val="left"/>
        <w:rPr>
          <w:rFonts w:hint="eastAsia" w:ascii="宋体" w:hAnsi="宋体" w:eastAsia="宋体"/>
          <w:sz w:val="24"/>
        </w:rPr>
      </w:pPr>
      <w:r>
        <w:rPr>
          <w:rFonts w:ascii="宋体" w:hAnsi="宋体" w:eastAsia="宋体"/>
          <w:szCs w:val="21"/>
        </w:rPr>
        <w:t>1</w:t>
      </w:r>
      <w:r>
        <w:rPr>
          <w:rFonts w:hint="eastAsia" w:ascii="宋体" w:hAnsi="宋体" w:eastAsia="宋体"/>
          <w:szCs w:val="21"/>
        </w:rPr>
        <w:t xml:space="preserve">. </w:t>
      </w:r>
      <w:r>
        <w:rPr>
          <w:rFonts w:hint="eastAsia" w:ascii="宋体" w:hAnsi="宋体" w:eastAsia="宋体"/>
          <w:sz w:val="24"/>
        </w:rPr>
        <w:t>投标人应认真审阅，全面理解招标文件中所有的须知、条件、格式、条款、规范，文件应当对实质性内容做出响应，不符合招标文件实质性要求的投标文件将被拒绝。</w:t>
      </w:r>
    </w:p>
    <w:p w14:paraId="1D42DD87">
      <w:pPr>
        <w:spacing w:line="360" w:lineRule="auto"/>
        <w:ind w:firstLine="480" w:firstLineChars="200"/>
        <w:rPr>
          <w:rFonts w:hint="eastAsia" w:ascii="宋体" w:hAnsi="宋体" w:eastAsia="宋体"/>
          <w:sz w:val="24"/>
        </w:rPr>
      </w:pPr>
      <w:r>
        <w:rPr>
          <w:rFonts w:hint="eastAsia" w:ascii="宋体" w:hAnsi="宋体" w:eastAsia="宋体"/>
          <w:sz w:val="24"/>
        </w:rPr>
        <w:t>2.标书的制作、不同文字文本的释义均以简体中文文本为准，重要的外文资料须附有中文译注。</w:t>
      </w:r>
    </w:p>
    <w:p w14:paraId="293957F7">
      <w:pPr>
        <w:spacing w:line="360" w:lineRule="auto"/>
        <w:ind w:firstLine="480" w:firstLineChars="200"/>
        <w:rPr>
          <w:rFonts w:hint="eastAsia" w:ascii="宋体" w:hAnsi="宋体" w:eastAsia="宋体"/>
          <w:sz w:val="24"/>
        </w:rPr>
      </w:pPr>
      <w:r>
        <w:rPr>
          <w:rFonts w:hint="eastAsia" w:ascii="宋体" w:hAnsi="宋体" w:eastAsia="宋体"/>
          <w:sz w:val="24"/>
        </w:rPr>
        <w:t>3.标书所使用的公章必须为企事业法人公章，且与投标人名称一致，不能以其它业务章或附属机构章代替。</w:t>
      </w:r>
      <w:r>
        <w:rPr>
          <w:rFonts w:hint="eastAsia" w:ascii="宋体" w:hAnsi="宋体" w:eastAsia="宋体"/>
          <w:sz w:val="24"/>
          <w:shd w:val="clear" w:color="auto" w:fill="FFFFFF" w:themeFill="background1"/>
        </w:rPr>
        <w:t>需签名之处必须由法定代表人或其授权人（应提供授权委托书）签署。</w:t>
      </w:r>
    </w:p>
    <w:p w14:paraId="17F062FE">
      <w:pPr>
        <w:spacing w:line="360" w:lineRule="auto"/>
        <w:ind w:left="420"/>
        <w:jc w:val="left"/>
        <w:rPr>
          <w:rFonts w:hint="eastAsia" w:ascii="宋体" w:hAnsi="宋体" w:eastAsia="宋体"/>
          <w:sz w:val="24"/>
        </w:rPr>
      </w:pPr>
      <w:r>
        <w:rPr>
          <w:rFonts w:hint="eastAsia" w:ascii="宋体" w:hAnsi="宋体" w:eastAsia="宋体"/>
          <w:sz w:val="24"/>
        </w:rPr>
        <w:t>4.投标文件不得涂改和增删。</w:t>
      </w:r>
    </w:p>
    <w:p w14:paraId="7C126FF4">
      <w:pPr>
        <w:widowControl/>
        <w:jc w:val="left"/>
      </w:pPr>
      <w:r>
        <w:rPr>
          <w:rFonts w:hint="eastAsia"/>
        </w:rPr>
        <w:t xml:space="preserve"> </w:t>
      </w:r>
      <w:r>
        <w:rPr>
          <w:rFonts w:hint="eastAsia" w:ascii="宋体" w:hAnsi="宋体" w:eastAsia="宋体"/>
          <w:sz w:val="24"/>
        </w:rPr>
        <w:t xml:space="preserve">   </w:t>
      </w:r>
      <w:r>
        <w:br w:type="page"/>
      </w:r>
    </w:p>
    <w:p w14:paraId="6A5DE0FE">
      <w:pPr>
        <w:jc w:val="center"/>
        <w:outlineLvl w:val="0"/>
      </w:pPr>
      <w:bookmarkStart w:id="21" w:name="_Toc190445937"/>
      <w:r>
        <w:rPr>
          <w:b/>
          <w:sz w:val="36"/>
        </w:rPr>
        <w:t>第</w:t>
      </w:r>
      <w:r>
        <w:rPr>
          <w:rFonts w:hint="eastAsia"/>
          <w:b/>
          <w:sz w:val="36"/>
        </w:rPr>
        <w:t>三</w:t>
      </w:r>
      <w:r>
        <w:rPr>
          <w:b/>
          <w:sz w:val="36"/>
        </w:rPr>
        <w:t>章 评审</w:t>
      </w:r>
      <w:bookmarkEnd w:id="21"/>
    </w:p>
    <w:p w14:paraId="2E8D6C22"/>
    <w:p w14:paraId="027A117F">
      <w:pPr>
        <w:overflowPunct w:val="0"/>
        <w:snapToGrid w:val="0"/>
        <w:spacing w:line="570" w:lineRule="exact"/>
        <w:ind w:firstLine="482" w:firstLineChars="200"/>
        <w:rPr>
          <w:rFonts w:hint="eastAsia" w:ascii="宋体" w:hAnsi="宋体" w:eastAsia="宋体" w:cs="宋体"/>
          <w:b/>
          <w:sz w:val="24"/>
        </w:rPr>
      </w:pPr>
      <w:r>
        <w:rPr>
          <w:rFonts w:hint="eastAsia" w:ascii="宋体" w:hAnsi="宋体" w:eastAsia="宋体" w:cs="宋体"/>
          <w:b/>
          <w:sz w:val="24"/>
        </w:rPr>
        <w:t>一、开标、评标、定标</w:t>
      </w:r>
    </w:p>
    <w:p w14:paraId="1FFDF102">
      <w:pPr>
        <w:spacing w:line="360" w:lineRule="auto"/>
        <w:ind w:firstLine="472" w:firstLineChars="196"/>
        <w:rPr>
          <w:rFonts w:hint="eastAsia" w:cs="楷体" w:asciiTheme="minorEastAsia" w:hAnsiTheme="minorEastAsia"/>
          <w:b/>
          <w:sz w:val="24"/>
        </w:rPr>
      </w:pPr>
      <w:r>
        <w:rPr>
          <w:rFonts w:hint="eastAsia" w:cs="楷体" w:asciiTheme="minorEastAsia" w:hAnsiTheme="minorEastAsia"/>
          <w:b/>
          <w:sz w:val="24"/>
        </w:rPr>
        <w:t>（一）开标</w:t>
      </w:r>
    </w:p>
    <w:p w14:paraId="6C139239">
      <w:pPr>
        <w:spacing w:line="360" w:lineRule="auto"/>
        <w:ind w:firstLine="480" w:firstLineChars="200"/>
        <w:rPr>
          <w:rFonts w:hint="eastAsia" w:asciiTheme="minorEastAsia" w:hAnsiTheme="minorEastAsia"/>
          <w:sz w:val="24"/>
        </w:rPr>
      </w:pPr>
      <w:r>
        <w:rPr>
          <w:rFonts w:asciiTheme="minorEastAsia" w:hAnsiTheme="minorEastAsia"/>
          <w:sz w:val="24"/>
        </w:rPr>
        <w:t>1</w:t>
      </w:r>
      <w:r>
        <w:rPr>
          <w:rFonts w:hint="eastAsia" w:asciiTheme="minorEastAsia" w:hAnsiTheme="minorEastAsia"/>
          <w:sz w:val="24"/>
        </w:rPr>
        <w:t>.开标由询价人主持。</w:t>
      </w:r>
    </w:p>
    <w:p w14:paraId="45DD83E7">
      <w:pPr>
        <w:spacing w:line="360" w:lineRule="auto"/>
        <w:ind w:firstLine="480" w:firstLineChars="200"/>
        <w:rPr>
          <w:rFonts w:hint="eastAsia" w:asciiTheme="minorEastAsia" w:hAnsiTheme="minorEastAsia"/>
          <w:sz w:val="24"/>
        </w:rPr>
      </w:pPr>
      <w:r>
        <w:rPr>
          <w:rFonts w:asciiTheme="minorEastAsia" w:hAnsiTheme="minorEastAsia"/>
          <w:sz w:val="24"/>
        </w:rPr>
        <w:t>2</w:t>
      </w:r>
      <w:r>
        <w:rPr>
          <w:rFonts w:hint="eastAsia" w:asciiTheme="minorEastAsia" w:hAnsiTheme="minorEastAsia"/>
          <w:sz w:val="24"/>
        </w:rPr>
        <w:t>.开标时，检查报价文件的密封情况，经确认无误后，由采购工作小组当众拆封，宣读报价人名称、报价和其他询价人认为有必要的内容。报价文件未按照询价文件的要求予以密封的，将作为无效报价文件，退回报价人。</w:t>
      </w:r>
    </w:p>
    <w:p w14:paraId="5E19FDAC">
      <w:pPr>
        <w:spacing w:line="360" w:lineRule="auto"/>
        <w:ind w:firstLine="480" w:firstLineChars="200"/>
        <w:rPr>
          <w:rFonts w:hint="eastAsia" w:asciiTheme="minorEastAsia" w:hAnsiTheme="minorEastAsia"/>
          <w:sz w:val="24"/>
        </w:rPr>
      </w:pPr>
      <w:r>
        <w:rPr>
          <w:rFonts w:asciiTheme="minorEastAsia" w:hAnsiTheme="minorEastAsia"/>
          <w:sz w:val="24"/>
        </w:rPr>
        <w:t>3</w:t>
      </w:r>
      <w:r>
        <w:rPr>
          <w:rFonts w:hint="eastAsia" w:asciiTheme="minorEastAsia" w:hAnsiTheme="minorEastAsia"/>
          <w:sz w:val="24"/>
        </w:rPr>
        <w:t>.询价人在截止时间前收到所有报价文件，开标时都将当众予以拆封、宣读、记录。</w:t>
      </w:r>
    </w:p>
    <w:p w14:paraId="262597A3">
      <w:pPr>
        <w:spacing w:line="360" w:lineRule="auto"/>
        <w:ind w:firstLine="480" w:firstLineChars="200"/>
        <w:rPr>
          <w:rFonts w:hint="eastAsia" w:asciiTheme="minorEastAsia" w:hAnsiTheme="minorEastAsia"/>
          <w:sz w:val="24"/>
        </w:rPr>
      </w:pPr>
      <w:r>
        <w:rPr>
          <w:rFonts w:asciiTheme="minorEastAsia" w:hAnsiTheme="minorEastAsia"/>
          <w:sz w:val="24"/>
        </w:rPr>
        <w:t>4</w:t>
      </w:r>
      <w:r>
        <w:rPr>
          <w:rFonts w:hint="eastAsia" w:asciiTheme="minorEastAsia" w:hAnsiTheme="minorEastAsia"/>
          <w:sz w:val="24"/>
        </w:rPr>
        <w:t>.在开标时，报价文件出现下列情况之一的，将作为无效报价文件，不得进入评标：</w:t>
      </w:r>
    </w:p>
    <w:p w14:paraId="0B370E20">
      <w:pPr>
        <w:spacing w:line="360" w:lineRule="auto"/>
        <w:ind w:firstLine="480" w:firstLineChars="200"/>
        <w:rPr>
          <w:rFonts w:hint="eastAsia" w:asciiTheme="minorEastAsia" w:hAnsiTheme="minorEastAsia"/>
          <w:sz w:val="24"/>
        </w:rPr>
      </w:pPr>
      <w:r>
        <w:rPr>
          <w:rFonts w:hint="eastAsia" w:asciiTheme="minorEastAsia" w:hAnsiTheme="minorEastAsia"/>
          <w:sz w:val="24"/>
        </w:rPr>
        <w:t>（1）报价文件未密封；</w:t>
      </w:r>
    </w:p>
    <w:p w14:paraId="5A25A728">
      <w:pPr>
        <w:tabs>
          <w:tab w:val="left" w:pos="1080"/>
        </w:tabs>
        <w:snapToGrid w:val="0"/>
        <w:spacing w:line="360" w:lineRule="auto"/>
        <w:ind w:firstLine="480" w:firstLineChars="200"/>
        <w:rPr>
          <w:rFonts w:hint="eastAsia" w:asciiTheme="minorEastAsia" w:hAnsiTheme="minorEastAsia"/>
          <w:sz w:val="24"/>
        </w:rPr>
      </w:pPr>
      <w:r>
        <w:rPr>
          <w:rFonts w:hint="eastAsia" w:asciiTheme="minorEastAsia" w:hAnsiTheme="minorEastAsia"/>
          <w:sz w:val="24"/>
        </w:rPr>
        <w:t>（2）报价文件未加盖单位印章；</w:t>
      </w:r>
    </w:p>
    <w:p w14:paraId="718A98F2">
      <w:pPr>
        <w:tabs>
          <w:tab w:val="left" w:pos="1080"/>
        </w:tabs>
        <w:snapToGrid w:val="0"/>
        <w:spacing w:line="360" w:lineRule="auto"/>
        <w:ind w:firstLine="480" w:firstLineChars="200"/>
        <w:rPr>
          <w:rFonts w:hint="eastAsia" w:asciiTheme="minorEastAsia" w:hAnsiTheme="minorEastAsia"/>
          <w:sz w:val="24"/>
        </w:rPr>
      </w:pPr>
      <w:r>
        <w:rPr>
          <w:rFonts w:hint="eastAsia" w:asciiTheme="minorEastAsia" w:hAnsiTheme="minorEastAsia"/>
          <w:sz w:val="24"/>
        </w:rPr>
        <w:t>（3）未提供单位营业执照（复印件加盖公章）；</w:t>
      </w:r>
    </w:p>
    <w:p w14:paraId="6D1A7FEF">
      <w:pPr>
        <w:tabs>
          <w:tab w:val="left" w:pos="1080"/>
        </w:tabs>
        <w:snapToGrid w:val="0"/>
        <w:spacing w:line="360" w:lineRule="auto"/>
        <w:ind w:firstLine="480" w:firstLineChars="200"/>
        <w:rPr>
          <w:rFonts w:hint="eastAsia" w:asciiTheme="minorEastAsia" w:hAnsiTheme="minorEastAsia"/>
          <w:sz w:val="24"/>
        </w:rPr>
      </w:pPr>
      <w:r>
        <w:rPr>
          <w:rFonts w:hint="eastAsia" w:asciiTheme="minorEastAsia" w:hAnsiTheme="minorEastAsia"/>
          <w:sz w:val="24"/>
        </w:rPr>
        <w:t>（4）逾期送达；</w:t>
      </w:r>
    </w:p>
    <w:p w14:paraId="2CAAF620">
      <w:pPr>
        <w:tabs>
          <w:tab w:val="left" w:pos="1080"/>
        </w:tabs>
        <w:overflowPunct w:val="0"/>
        <w:snapToGrid w:val="0"/>
        <w:spacing w:line="360" w:lineRule="auto"/>
        <w:ind w:firstLine="480" w:firstLineChars="200"/>
        <w:rPr>
          <w:rFonts w:hint="eastAsia" w:asciiTheme="minorEastAsia" w:hAnsiTheme="minorEastAsia"/>
          <w:sz w:val="24"/>
        </w:rPr>
      </w:pPr>
      <w:r>
        <w:rPr>
          <w:rFonts w:hint="eastAsia" w:asciiTheme="minorEastAsia" w:hAnsiTheme="minorEastAsia"/>
          <w:sz w:val="24"/>
        </w:rPr>
        <w:t>（</w:t>
      </w:r>
      <w:r>
        <w:rPr>
          <w:rFonts w:hint="eastAsia" w:asciiTheme="minorEastAsia" w:hAnsiTheme="minorEastAsia"/>
          <w:sz w:val="24"/>
          <w:lang w:eastAsia="zh"/>
        </w:rPr>
        <w:t>5</w:t>
      </w:r>
      <w:r>
        <w:rPr>
          <w:rFonts w:hint="eastAsia" w:asciiTheme="minorEastAsia" w:hAnsiTheme="minorEastAsia"/>
          <w:sz w:val="24"/>
        </w:rPr>
        <w:t>）内容不全或数据模糊，辨认不清且无法澄清的。</w:t>
      </w:r>
    </w:p>
    <w:p w14:paraId="35B0FEAB">
      <w:pPr>
        <w:spacing w:line="360" w:lineRule="auto"/>
        <w:ind w:firstLine="482" w:firstLineChars="200"/>
        <w:rPr>
          <w:rFonts w:hint="eastAsia" w:cs="楷体" w:asciiTheme="minorEastAsia" w:hAnsiTheme="minorEastAsia"/>
          <w:b/>
          <w:bCs/>
          <w:sz w:val="24"/>
        </w:rPr>
      </w:pPr>
      <w:r>
        <w:rPr>
          <w:rFonts w:hint="eastAsia" w:cs="楷体" w:asciiTheme="minorEastAsia" w:hAnsiTheme="minorEastAsia"/>
          <w:b/>
          <w:bCs/>
          <w:sz w:val="24"/>
        </w:rPr>
        <w:t>（二）评标</w:t>
      </w:r>
    </w:p>
    <w:p w14:paraId="6226C62D">
      <w:pPr>
        <w:spacing w:line="360" w:lineRule="auto"/>
        <w:ind w:firstLine="480" w:firstLineChars="200"/>
        <w:rPr>
          <w:rFonts w:hint="eastAsia" w:asciiTheme="minorEastAsia" w:hAnsiTheme="minorEastAsia"/>
          <w:sz w:val="24"/>
        </w:rPr>
      </w:pPr>
      <w:r>
        <w:rPr>
          <w:rFonts w:asciiTheme="minorEastAsia" w:hAnsiTheme="minorEastAsia"/>
          <w:sz w:val="24"/>
        </w:rPr>
        <w:t>1</w:t>
      </w:r>
      <w:r>
        <w:rPr>
          <w:rFonts w:hint="eastAsia" w:asciiTheme="minorEastAsia" w:hAnsiTheme="minorEastAsia"/>
          <w:sz w:val="24"/>
        </w:rPr>
        <w:t>.评标工作</w:t>
      </w:r>
    </w:p>
    <w:p w14:paraId="048DA74F">
      <w:pPr>
        <w:spacing w:line="360" w:lineRule="auto"/>
        <w:ind w:firstLine="480" w:firstLineChars="200"/>
        <w:rPr>
          <w:rFonts w:hint="eastAsia" w:asciiTheme="minorEastAsia" w:hAnsiTheme="minorEastAsia"/>
          <w:sz w:val="24"/>
        </w:rPr>
      </w:pPr>
      <w:r>
        <w:rPr>
          <w:rFonts w:hint="eastAsia" w:asciiTheme="minorEastAsia" w:hAnsiTheme="minorEastAsia"/>
          <w:sz w:val="24"/>
        </w:rPr>
        <w:t>本项目询价的评标工作由我方采购工作小组执行。</w:t>
      </w:r>
    </w:p>
    <w:p w14:paraId="495837F2">
      <w:pPr>
        <w:spacing w:line="360" w:lineRule="auto"/>
        <w:ind w:firstLine="480" w:firstLineChars="200"/>
        <w:rPr>
          <w:rFonts w:hint="eastAsia" w:asciiTheme="minorEastAsia" w:hAnsiTheme="minorEastAsia"/>
          <w:sz w:val="24"/>
        </w:rPr>
      </w:pPr>
      <w:r>
        <w:rPr>
          <w:rFonts w:asciiTheme="minorEastAsia" w:hAnsiTheme="minorEastAsia"/>
          <w:sz w:val="24"/>
        </w:rPr>
        <w:t>2</w:t>
      </w:r>
      <w:r>
        <w:rPr>
          <w:rFonts w:hint="eastAsia" w:asciiTheme="minorEastAsia" w:hAnsiTheme="minorEastAsia"/>
          <w:sz w:val="24"/>
        </w:rPr>
        <w:t>.评标标准与方法</w:t>
      </w:r>
    </w:p>
    <w:p w14:paraId="58672C3C">
      <w:pPr>
        <w:tabs>
          <w:tab w:val="left" w:pos="2340"/>
        </w:tabs>
        <w:adjustRightInd w:val="0"/>
        <w:snapToGrid w:val="0"/>
        <w:spacing w:line="360" w:lineRule="auto"/>
        <w:ind w:firstLine="480" w:firstLineChars="200"/>
        <w:rPr>
          <w:rFonts w:hint="eastAsia" w:cs="宋体" w:asciiTheme="minorEastAsia" w:hAnsiTheme="minorEastAsia"/>
          <w:b/>
          <w:sz w:val="24"/>
        </w:rPr>
      </w:pPr>
      <w:r>
        <w:rPr>
          <w:rFonts w:asciiTheme="minorEastAsia" w:hAnsiTheme="minorEastAsia"/>
          <w:sz w:val="24"/>
        </w:rPr>
        <w:t>本项目采用符合询价文件要求的情况下的</w:t>
      </w:r>
      <w:r>
        <w:rPr>
          <w:rFonts w:asciiTheme="minorEastAsia" w:hAnsiTheme="minorEastAsia"/>
          <w:b/>
          <w:sz w:val="24"/>
        </w:rPr>
        <w:t>综合评分法</w:t>
      </w:r>
      <w:r>
        <w:rPr>
          <w:rFonts w:asciiTheme="minorEastAsia" w:hAnsiTheme="minorEastAsia"/>
          <w:sz w:val="24"/>
        </w:rPr>
        <w:t>，本项目开标后，由</w:t>
      </w:r>
      <w:r>
        <w:rPr>
          <w:rFonts w:hint="eastAsia" w:asciiTheme="minorEastAsia" w:hAnsiTheme="minorEastAsia"/>
          <w:sz w:val="24"/>
        </w:rPr>
        <w:t>采购工作小组</w:t>
      </w:r>
      <w:r>
        <w:rPr>
          <w:rFonts w:asciiTheme="minorEastAsia" w:hAnsiTheme="minorEastAsia"/>
          <w:sz w:val="24"/>
        </w:rPr>
        <w:t>进行评审。如果各项均符合询价文件要求，则</w:t>
      </w:r>
      <w:r>
        <w:rPr>
          <w:rFonts w:hint="eastAsia" w:asciiTheme="minorEastAsia" w:hAnsiTheme="minorEastAsia"/>
          <w:sz w:val="24"/>
        </w:rPr>
        <w:t>原则上</w:t>
      </w:r>
      <w:r>
        <w:rPr>
          <w:rFonts w:asciiTheme="minorEastAsia" w:hAnsiTheme="minorEastAsia"/>
          <w:sz w:val="24"/>
        </w:rPr>
        <w:t>推荐评分最高者为第一中标候选单位，评分次高者为第二中标候选单位，当出现二个或以上评分并列最低时，则采用少数服从多数的原则，由</w:t>
      </w:r>
      <w:r>
        <w:rPr>
          <w:rFonts w:hint="eastAsia" w:asciiTheme="minorEastAsia" w:hAnsiTheme="minorEastAsia"/>
          <w:sz w:val="24"/>
        </w:rPr>
        <w:t>采购工作小组</w:t>
      </w:r>
      <w:r>
        <w:rPr>
          <w:rFonts w:asciiTheme="minorEastAsia" w:hAnsiTheme="minorEastAsia"/>
          <w:sz w:val="24"/>
        </w:rPr>
        <w:t>记名投票推荐中标单位。</w:t>
      </w:r>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0918D42A">
      <w:pPr>
        <w:jc w:val="left"/>
        <w:rPr>
          <w:rFonts w:hint="eastAsia" w:ascii="宋体" w:hAnsi="宋体" w:eastAsia="宋体" w:cs="宋体"/>
          <w:b/>
          <w:sz w:val="36"/>
        </w:rPr>
      </w:pPr>
      <w:r>
        <w:rPr>
          <w:rFonts w:hint="eastAsia" w:ascii="宋体" w:hAnsi="宋体" w:eastAsia="宋体" w:cs="宋体"/>
          <w:b/>
          <w:sz w:val="36"/>
        </w:rPr>
        <w:br w:type="page"/>
      </w:r>
    </w:p>
    <w:p w14:paraId="189004FC">
      <w:pPr>
        <w:rPr>
          <w:b/>
          <w:sz w:val="24"/>
        </w:rPr>
      </w:pPr>
      <w:r>
        <w:rPr>
          <w:rFonts w:hint="eastAsia"/>
          <w:b/>
          <w:sz w:val="24"/>
        </w:rPr>
        <w:t>（三）评选办法</w:t>
      </w:r>
    </w:p>
    <w:p w14:paraId="681BF416">
      <w:pPr>
        <w:rPr>
          <w:b/>
          <w:sz w:val="24"/>
        </w:rPr>
      </w:pP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746"/>
        <w:gridCol w:w="7025"/>
      </w:tblGrid>
      <w:tr w14:paraId="70746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42" w:type="pct"/>
            <w:vAlign w:val="center"/>
          </w:tcPr>
          <w:p w14:paraId="136FE735">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评分项目</w:t>
            </w:r>
          </w:p>
        </w:tc>
        <w:tc>
          <w:tcPr>
            <w:tcW w:w="399" w:type="pct"/>
            <w:vAlign w:val="center"/>
          </w:tcPr>
          <w:p w14:paraId="47058F5B">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最高分值</w:t>
            </w:r>
          </w:p>
        </w:tc>
        <w:tc>
          <w:tcPr>
            <w:tcW w:w="3759" w:type="pct"/>
            <w:vAlign w:val="center"/>
          </w:tcPr>
          <w:p w14:paraId="3B596B41">
            <w:pPr>
              <w:widowControl/>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评分说明及标准</w:t>
            </w:r>
          </w:p>
        </w:tc>
      </w:tr>
      <w:tr w14:paraId="413D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842" w:type="pct"/>
            <w:noWrap/>
            <w:vAlign w:val="center"/>
          </w:tcPr>
          <w:p w14:paraId="146EAE9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项目业绩</w:t>
            </w:r>
          </w:p>
        </w:tc>
        <w:tc>
          <w:tcPr>
            <w:tcW w:w="399" w:type="pct"/>
            <w:vAlign w:val="center"/>
          </w:tcPr>
          <w:p w14:paraId="752CEA76">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20</w:t>
            </w:r>
          </w:p>
        </w:tc>
        <w:tc>
          <w:tcPr>
            <w:tcW w:w="3759" w:type="pct"/>
            <w:vAlign w:val="center"/>
          </w:tcPr>
          <w:p w14:paraId="572BAAA0">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供应商近三年（投标截止时间往前推三年，以合同签订时间为准）完成过与本项目类似的资产评估服务业绩的(单笔金额≥30万)，每提供一个得 4 分，最高得 20 分。（提供合同协议书复印件）</w:t>
            </w:r>
          </w:p>
        </w:tc>
      </w:tr>
      <w:tr w14:paraId="7DA9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2" w:type="pct"/>
            <w:noWrap/>
            <w:vAlign w:val="center"/>
          </w:tcPr>
          <w:p w14:paraId="73A62B4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人员配置</w:t>
            </w:r>
          </w:p>
        </w:tc>
        <w:tc>
          <w:tcPr>
            <w:tcW w:w="399" w:type="pct"/>
            <w:noWrap/>
            <w:vAlign w:val="center"/>
          </w:tcPr>
          <w:p w14:paraId="48D7396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w:t>
            </w:r>
            <w:r>
              <w:rPr>
                <w:rFonts w:ascii="等线" w:hAnsi="等线" w:eastAsia="等线" w:cs="宋体"/>
                <w:color w:val="000000"/>
                <w:kern w:val="0"/>
                <w:sz w:val="22"/>
                <w:szCs w:val="22"/>
              </w:rPr>
              <w:t>0</w:t>
            </w:r>
          </w:p>
        </w:tc>
        <w:tc>
          <w:tcPr>
            <w:tcW w:w="3759" w:type="pct"/>
            <w:vAlign w:val="center"/>
          </w:tcPr>
          <w:p w14:paraId="03C212F1">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拟派相关团队人员配备合理：</w:t>
            </w:r>
          </w:p>
          <w:p w14:paraId="475D57F4">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①具备资产评估师资格的（1分/人），最高6分；</w:t>
            </w:r>
          </w:p>
          <w:p w14:paraId="63041284">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②从业年限（5年以上的加2分）；</w:t>
            </w:r>
          </w:p>
          <w:p w14:paraId="2E473ADB">
            <w:pPr>
              <w:widowControl/>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③专业匹配度（具有债券类项目经验的加3分）</w:t>
            </w:r>
          </w:p>
        </w:tc>
      </w:tr>
      <w:tr w14:paraId="4A41F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2" w:type="pct"/>
            <w:noWrap/>
            <w:vAlign w:val="center"/>
          </w:tcPr>
          <w:p w14:paraId="0B03A77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评估实施方案</w:t>
            </w:r>
          </w:p>
        </w:tc>
        <w:tc>
          <w:tcPr>
            <w:tcW w:w="399" w:type="pct"/>
            <w:noWrap/>
            <w:vAlign w:val="center"/>
          </w:tcPr>
          <w:p w14:paraId="263C956A">
            <w:pPr>
              <w:widowControl/>
              <w:spacing w:line="276" w:lineRule="auto"/>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3</w:t>
            </w:r>
            <w:r>
              <w:rPr>
                <w:rFonts w:ascii="等线" w:hAnsi="等线" w:eastAsia="等线" w:cs="宋体"/>
                <w:color w:val="000000"/>
                <w:kern w:val="0"/>
                <w:sz w:val="22"/>
                <w:szCs w:val="22"/>
              </w:rPr>
              <w:t>0</w:t>
            </w:r>
          </w:p>
        </w:tc>
        <w:tc>
          <w:tcPr>
            <w:tcW w:w="3759" w:type="pct"/>
            <w:vAlign w:val="center"/>
          </w:tcPr>
          <w:p w14:paraId="7D3CCFC8">
            <w:pPr>
              <w:widowControl/>
              <w:spacing w:line="276" w:lineRule="auto"/>
              <w:jc w:val="left"/>
              <w:rPr>
                <w:rFonts w:hint="eastAsia"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评委根据各供应商提交的评估实施方案分别进行以下三子项评审。（每一子项10分，本项满分30分） </w:t>
            </w:r>
          </w:p>
          <w:p w14:paraId="20FC286A">
            <w:pPr>
              <w:widowControl/>
              <w:spacing w:line="276" w:lineRule="auto"/>
              <w:jc w:val="left"/>
              <w:rPr>
                <w:rFonts w:hint="eastAsia"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ab/>
            </w:r>
            <w:r>
              <w:rPr>
                <w:rFonts w:hint="eastAsia" w:asciiTheme="minorEastAsia" w:hAnsiTheme="minorEastAsia" w:cstheme="minorEastAsia"/>
                <w:color w:val="000000"/>
                <w:kern w:val="0"/>
                <w:sz w:val="22"/>
                <w:szCs w:val="22"/>
              </w:rPr>
              <w:t xml:space="preserve">①对资产评估工作目标针对性优劣进行评审，得 0-10 分； </w:t>
            </w:r>
          </w:p>
          <w:p w14:paraId="04A72E9F">
            <w:pPr>
              <w:widowControl/>
              <w:spacing w:line="276" w:lineRule="auto"/>
              <w:jc w:val="left"/>
              <w:rPr>
                <w:rFonts w:hint="eastAsia"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ab/>
            </w:r>
            <w:r>
              <w:rPr>
                <w:rFonts w:hint="eastAsia" w:asciiTheme="minorEastAsia" w:hAnsiTheme="minorEastAsia" w:cstheme="minorEastAsia"/>
                <w:color w:val="000000"/>
                <w:kern w:val="0"/>
                <w:sz w:val="22"/>
                <w:szCs w:val="22"/>
              </w:rPr>
              <w:t xml:space="preserve">②对资产评估程序及方法具体可操作性优劣进行评审，得 0-10分； </w:t>
            </w:r>
          </w:p>
          <w:p w14:paraId="1CB44183">
            <w:pPr>
              <w:widowControl/>
              <w:spacing w:line="276" w:lineRule="auto"/>
              <w:ind w:firstLine="440" w:firstLineChars="200"/>
              <w:jc w:val="left"/>
              <w:rPr>
                <w:rFonts w:hint="eastAsia"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 xml:space="preserve">③对资产评估组织、人员保障与分工的合理性优劣进行评审，得0-10 分。 </w:t>
            </w:r>
          </w:p>
        </w:tc>
      </w:tr>
      <w:tr w14:paraId="3F7E5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0" w:hRule="atLeast"/>
        </w:trPr>
        <w:tc>
          <w:tcPr>
            <w:tcW w:w="842" w:type="pct"/>
            <w:noWrap/>
            <w:vAlign w:val="center"/>
          </w:tcPr>
          <w:p w14:paraId="46CEF15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合理化建议</w:t>
            </w:r>
          </w:p>
        </w:tc>
        <w:tc>
          <w:tcPr>
            <w:tcW w:w="399" w:type="pct"/>
            <w:noWrap/>
            <w:vAlign w:val="center"/>
          </w:tcPr>
          <w:p w14:paraId="0C0DCC89">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w:t>
            </w:r>
          </w:p>
        </w:tc>
        <w:tc>
          <w:tcPr>
            <w:tcW w:w="3759" w:type="pct"/>
            <w:vAlign w:val="center"/>
          </w:tcPr>
          <w:p w14:paraId="086C5826">
            <w:pPr>
              <w:widowControl/>
              <w:jc w:val="left"/>
              <w:rPr>
                <w:rFonts w:hint="eastAsia"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供应商对本项目提出合理化的建议；合理化建议的措施科学、合理、明确的得7-10 分；相关建议基本能够满足要求的得3-6 分；合理化建议缺少或者不能满足的得0-2 分；</w:t>
            </w:r>
          </w:p>
        </w:tc>
      </w:tr>
      <w:tr w14:paraId="51FEB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42" w:type="pct"/>
            <w:noWrap/>
            <w:vAlign w:val="center"/>
          </w:tcPr>
          <w:p w14:paraId="28F4EA44">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质量保证措施</w:t>
            </w:r>
          </w:p>
        </w:tc>
        <w:tc>
          <w:tcPr>
            <w:tcW w:w="399" w:type="pct"/>
            <w:noWrap/>
            <w:vAlign w:val="center"/>
          </w:tcPr>
          <w:p w14:paraId="56CBFA8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20</w:t>
            </w:r>
          </w:p>
        </w:tc>
        <w:tc>
          <w:tcPr>
            <w:tcW w:w="3759" w:type="pct"/>
            <w:vAlign w:val="center"/>
          </w:tcPr>
          <w:p w14:paraId="6A582134">
            <w:pPr>
              <w:widowControl/>
              <w:jc w:val="left"/>
              <w:rPr>
                <w:rFonts w:hint="eastAsia"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供应商对本项目提出合理化的建议；合理化建议的措施科学、合理、明确的得15-20 分；相关建议基本能够满足要求的得6-14分；合理化建议缺少或者不能满足的得0-5 分。</w:t>
            </w:r>
          </w:p>
        </w:tc>
      </w:tr>
      <w:tr w14:paraId="54B4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2" w:type="pct"/>
            <w:noWrap/>
            <w:vAlign w:val="center"/>
          </w:tcPr>
          <w:p w14:paraId="34FBE1A7">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报价</w:t>
            </w:r>
          </w:p>
        </w:tc>
        <w:tc>
          <w:tcPr>
            <w:tcW w:w="399" w:type="pct"/>
            <w:noWrap/>
            <w:vAlign w:val="center"/>
          </w:tcPr>
          <w:p w14:paraId="3E0C909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w:t>
            </w:r>
          </w:p>
        </w:tc>
        <w:tc>
          <w:tcPr>
            <w:tcW w:w="3759" w:type="pct"/>
            <w:vAlign w:val="center"/>
          </w:tcPr>
          <w:p w14:paraId="0314EC26">
            <w:pPr>
              <w:widowControl/>
              <w:jc w:val="left"/>
              <w:rPr>
                <w:rFonts w:hint="eastAsia" w:asciiTheme="minorEastAsia" w:hAnsiTheme="minorEastAsia" w:cstheme="minorEastAsia"/>
                <w:color w:val="000000"/>
                <w:kern w:val="0"/>
                <w:sz w:val="22"/>
                <w:szCs w:val="22"/>
              </w:rPr>
            </w:pPr>
            <w:r>
              <w:rPr>
                <w:rFonts w:hint="eastAsia" w:asciiTheme="minorEastAsia" w:hAnsiTheme="minorEastAsia" w:cstheme="minorEastAsia"/>
                <w:color w:val="000000"/>
                <w:kern w:val="0"/>
                <w:sz w:val="22"/>
                <w:szCs w:val="22"/>
              </w:rPr>
              <w:t>满足采购文件要求且报价最低的供应商的报价为基准价，其价格分为满分10分；其他供应商的价格分统一按照下列公式计算：其他供应商的报价得分=(基准价／该供应商的报价)×10</w:t>
            </w:r>
            <w:r>
              <w:rPr>
                <w:rFonts w:hint="eastAsia" w:asciiTheme="minorEastAsia" w:hAnsiTheme="minorEastAsia" w:cstheme="minorEastAsia"/>
                <w:color w:val="000000"/>
                <w:kern w:val="0"/>
                <w:sz w:val="22"/>
                <w:szCs w:val="22"/>
              </w:rPr>
              <w:br w:type="textWrapping"/>
            </w:r>
            <w:r>
              <w:rPr>
                <w:rFonts w:hint="eastAsia" w:asciiTheme="minorEastAsia" w:hAnsiTheme="minorEastAsia" w:cstheme="minorEastAsia"/>
                <w:color w:val="000000"/>
                <w:kern w:val="0"/>
                <w:sz w:val="22"/>
                <w:szCs w:val="22"/>
              </w:rPr>
              <w:t>请投标人提供报价函原件并加盖公章。</w:t>
            </w:r>
          </w:p>
        </w:tc>
      </w:tr>
      <w:tr w14:paraId="7411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42" w:type="pct"/>
            <w:noWrap/>
            <w:vAlign w:val="center"/>
          </w:tcPr>
          <w:p w14:paraId="1A59FC45">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合计</w:t>
            </w:r>
          </w:p>
        </w:tc>
        <w:tc>
          <w:tcPr>
            <w:tcW w:w="399" w:type="pct"/>
            <w:noWrap/>
            <w:vAlign w:val="center"/>
          </w:tcPr>
          <w:p w14:paraId="092F975F">
            <w:pPr>
              <w:widowControl/>
              <w:jc w:val="center"/>
              <w:rPr>
                <w:rFonts w:hint="eastAsia" w:ascii="等线" w:hAnsi="等线" w:eastAsia="等线" w:cs="宋体"/>
                <w:color w:val="000000"/>
                <w:kern w:val="0"/>
                <w:sz w:val="22"/>
                <w:szCs w:val="22"/>
              </w:rPr>
            </w:pPr>
            <w:r>
              <w:rPr>
                <w:rFonts w:hint="eastAsia" w:ascii="等线" w:hAnsi="等线" w:eastAsia="等线" w:cs="宋体"/>
                <w:color w:val="000000"/>
                <w:kern w:val="0"/>
                <w:sz w:val="22"/>
                <w:szCs w:val="22"/>
              </w:rPr>
              <w:t>100</w:t>
            </w:r>
          </w:p>
        </w:tc>
        <w:tc>
          <w:tcPr>
            <w:tcW w:w="3759" w:type="pct"/>
            <w:vAlign w:val="center"/>
          </w:tcPr>
          <w:p w14:paraId="01CEC2C0">
            <w:pPr>
              <w:widowControl/>
              <w:jc w:val="left"/>
              <w:rPr>
                <w:rFonts w:hint="eastAsia" w:asciiTheme="minorEastAsia" w:hAnsiTheme="minorEastAsia" w:cstheme="minorEastAsia"/>
                <w:color w:val="000000"/>
                <w:kern w:val="0"/>
                <w:sz w:val="22"/>
                <w:szCs w:val="22"/>
              </w:rPr>
            </w:pPr>
          </w:p>
        </w:tc>
      </w:tr>
    </w:tbl>
    <w:p w14:paraId="6E90368C">
      <w:pPr>
        <w:spacing w:line="360" w:lineRule="auto"/>
        <w:jc w:val="left"/>
        <w:rPr>
          <w:rFonts w:hint="eastAsia" w:ascii="宋体" w:hAnsi="宋体" w:eastAsia="宋体" w:cs="宋体"/>
          <w:kern w:val="1"/>
          <w:sz w:val="24"/>
        </w:rPr>
      </w:pPr>
    </w:p>
    <w:p w14:paraId="2D897B3E">
      <w:pPr>
        <w:spacing w:line="360" w:lineRule="auto"/>
        <w:jc w:val="left"/>
        <w:rPr>
          <w:rFonts w:hint="eastAsia" w:ascii="宋体" w:hAnsi="宋体" w:eastAsia="宋体" w:cs="宋体"/>
          <w:kern w:val="1"/>
          <w:sz w:val="24"/>
        </w:rPr>
      </w:pPr>
    </w:p>
    <w:p w14:paraId="0E49C009">
      <w:pPr>
        <w:spacing w:line="360" w:lineRule="auto"/>
        <w:jc w:val="left"/>
        <w:rPr>
          <w:rFonts w:hint="eastAsia" w:ascii="宋体" w:hAnsi="宋体" w:eastAsia="宋体" w:cs="宋体"/>
          <w:kern w:val="1"/>
          <w:sz w:val="24"/>
        </w:rPr>
      </w:pPr>
    </w:p>
    <w:p w14:paraId="3E58C9D3">
      <w:pPr>
        <w:spacing w:line="360" w:lineRule="auto"/>
        <w:jc w:val="left"/>
        <w:rPr>
          <w:rFonts w:hint="eastAsia" w:ascii="宋体" w:hAnsi="宋体" w:eastAsia="宋体" w:cs="宋体"/>
          <w:kern w:val="1"/>
          <w:sz w:val="24"/>
        </w:rPr>
      </w:pPr>
    </w:p>
    <w:p w14:paraId="6F43721A">
      <w:pPr>
        <w:spacing w:line="360" w:lineRule="auto"/>
        <w:jc w:val="left"/>
        <w:rPr>
          <w:rFonts w:hint="eastAsia" w:ascii="宋体" w:hAnsi="宋体" w:eastAsia="宋体" w:cs="宋体"/>
          <w:kern w:val="1"/>
          <w:sz w:val="24"/>
        </w:rPr>
      </w:pPr>
    </w:p>
    <w:p w14:paraId="097D301B">
      <w:pPr>
        <w:jc w:val="center"/>
        <w:outlineLvl w:val="0"/>
      </w:pPr>
      <w:bookmarkStart w:id="22" w:name="_Toc190445938"/>
      <w:r>
        <w:rPr>
          <w:b/>
          <w:sz w:val="36"/>
        </w:rPr>
        <w:t>第</w:t>
      </w:r>
      <w:r>
        <w:rPr>
          <w:rFonts w:hint="eastAsia"/>
          <w:b/>
          <w:sz w:val="36"/>
        </w:rPr>
        <w:t>四</w:t>
      </w:r>
      <w:r>
        <w:rPr>
          <w:b/>
          <w:sz w:val="36"/>
        </w:rPr>
        <w:t xml:space="preserve">章 </w:t>
      </w:r>
      <w:r>
        <w:rPr>
          <w:rFonts w:hint="eastAsia"/>
          <w:b/>
          <w:sz w:val="36"/>
        </w:rPr>
        <w:t>投标文件</w:t>
      </w:r>
      <w:r>
        <w:rPr>
          <w:b/>
          <w:sz w:val="36"/>
        </w:rPr>
        <w:t>格式与要求</w:t>
      </w:r>
      <w:bookmarkEnd w:id="22"/>
    </w:p>
    <w:p w14:paraId="22AB3B93">
      <w:pPr>
        <w:rPr>
          <w:b/>
          <w:sz w:val="28"/>
          <w:szCs w:val="28"/>
        </w:rPr>
      </w:pPr>
      <w:r>
        <w:rPr>
          <w:rFonts w:hint="eastAsia"/>
          <w:b/>
          <w:sz w:val="28"/>
          <w:szCs w:val="28"/>
        </w:rPr>
        <w:t>附件一、报价函</w:t>
      </w:r>
    </w:p>
    <w:p w14:paraId="1E193FFC">
      <w:pPr>
        <w:spacing w:line="570" w:lineRule="exact"/>
        <w:rPr>
          <w:rFonts w:hint="eastAsia" w:asciiTheme="minorEastAsia" w:hAnsiTheme="minorEastAsia"/>
          <w:bCs/>
          <w:kern w:val="0"/>
          <w:sz w:val="28"/>
          <w:szCs w:val="28"/>
          <w:u w:val="single"/>
        </w:rPr>
      </w:pPr>
      <w:r>
        <w:rPr>
          <w:rFonts w:asciiTheme="minorEastAsia" w:hAnsiTheme="minorEastAsia"/>
          <w:sz w:val="28"/>
          <w:szCs w:val="28"/>
        </w:rPr>
        <w:t>致：</w:t>
      </w:r>
      <w:r>
        <w:rPr>
          <w:rFonts w:asciiTheme="minorEastAsia" w:hAnsiTheme="minorEastAsia"/>
          <w:bCs/>
          <w:kern w:val="0"/>
          <w:sz w:val="28"/>
          <w:szCs w:val="28"/>
          <w:u w:val="single"/>
        </w:rPr>
        <w:t xml:space="preserve"> </w:t>
      </w:r>
      <w:r>
        <w:rPr>
          <w:rFonts w:hint="eastAsia" w:asciiTheme="minorEastAsia" w:hAnsiTheme="minorEastAsia"/>
          <w:bCs/>
          <w:kern w:val="0"/>
          <w:sz w:val="28"/>
          <w:szCs w:val="28"/>
          <w:u w:val="single"/>
        </w:rPr>
        <w:t>茂名滨海发展集团有限公司</w:t>
      </w:r>
    </w:p>
    <w:p w14:paraId="49B86842">
      <w:pPr>
        <w:overflowPunct w:val="0"/>
        <w:snapToGrid w:val="0"/>
        <w:spacing w:line="570" w:lineRule="exact"/>
        <w:ind w:firstLine="560" w:firstLineChars="200"/>
        <w:rPr>
          <w:rFonts w:hint="eastAsia" w:asciiTheme="minorEastAsia" w:hAnsiTheme="minorEastAsia"/>
          <w:sz w:val="28"/>
          <w:szCs w:val="28"/>
        </w:rPr>
      </w:pPr>
      <w:r>
        <w:rPr>
          <w:rFonts w:asciiTheme="minorEastAsia" w:hAnsiTheme="minorEastAsia"/>
          <w:sz w:val="28"/>
          <w:szCs w:val="28"/>
        </w:rPr>
        <w:t>我司已收到贵司关于</w:t>
      </w:r>
      <w:r>
        <w:rPr>
          <w:rFonts w:hint="eastAsia" w:asciiTheme="minorEastAsia" w:hAnsiTheme="minorEastAsia"/>
          <w:bCs/>
          <w:kern w:val="0"/>
          <w:sz w:val="28"/>
          <w:szCs w:val="28"/>
          <w:u w:val="single"/>
        </w:rPr>
        <w:t>茂名滨海发展集团有限公司主体/公司债</w:t>
      </w:r>
      <w:r>
        <w:rPr>
          <w:rFonts w:hint="eastAsia" w:asciiTheme="minorEastAsia" w:hAnsiTheme="minorEastAsia"/>
          <w:sz w:val="28"/>
          <w:szCs w:val="28"/>
          <w:u w:val="single"/>
        </w:rPr>
        <w:t>资产评估</w:t>
      </w:r>
      <w:r>
        <w:rPr>
          <w:rFonts w:asciiTheme="minorEastAsia" w:hAnsiTheme="minorEastAsia"/>
          <w:sz w:val="28"/>
          <w:szCs w:val="28"/>
          <w:u w:val="single"/>
        </w:rPr>
        <w:t xml:space="preserve">项目 </w:t>
      </w:r>
      <w:r>
        <w:rPr>
          <w:rFonts w:asciiTheme="minorEastAsia" w:hAnsiTheme="minorEastAsia"/>
          <w:sz w:val="28"/>
          <w:szCs w:val="28"/>
        </w:rPr>
        <w:t>的询价文件</w:t>
      </w:r>
      <w:r>
        <w:rPr>
          <w:rFonts w:hint="eastAsia" w:asciiTheme="minorEastAsia" w:hAnsiTheme="minorEastAsia"/>
          <w:sz w:val="28"/>
          <w:szCs w:val="28"/>
        </w:rPr>
        <w:t>，</w:t>
      </w:r>
      <w:r>
        <w:rPr>
          <w:rFonts w:hint="eastAsia" w:cs="仿宋_GB2312" w:asciiTheme="minorEastAsia" w:hAnsiTheme="minorEastAsia"/>
          <w:sz w:val="28"/>
          <w:szCs w:val="28"/>
        </w:rPr>
        <w:t>我司拟参加此次报价，我司对报价文件的真实性负责</w:t>
      </w:r>
      <w:r>
        <w:rPr>
          <w:rFonts w:asciiTheme="minorEastAsia" w:hAnsiTheme="minorEastAsia"/>
          <w:sz w:val="28"/>
          <w:szCs w:val="28"/>
        </w:rPr>
        <w:t>。</w:t>
      </w:r>
    </w:p>
    <w:p w14:paraId="42849148">
      <w:pPr>
        <w:rPr>
          <w:rFonts w:hint="eastAsia" w:asciiTheme="minorEastAsia" w:hAnsiTheme="minorEastAsia"/>
          <w:sz w:val="28"/>
          <w:szCs w:val="28"/>
        </w:rPr>
      </w:pPr>
      <w:r>
        <w:rPr>
          <w:rFonts w:asciiTheme="minorEastAsia" w:hAnsiTheme="minorEastAsia"/>
          <w:sz w:val="28"/>
          <w:szCs w:val="28"/>
        </w:rPr>
        <w:t>关于本项目</w:t>
      </w:r>
      <w:r>
        <w:rPr>
          <w:rFonts w:hint="eastAsia" w:asciiTheme="minorEastAsia" w:hAnsiTheme="minorEastAsia"/>
          <w:sz w:val="28"/>
          <w:szCs w:val="28"/>
        </w:rPr>
        <w:t>我司</w:t>
      </w:r>
      <w:r>
        <w:rPr>
          <w:rFonts w:asciiTheme="minorEastAsia" w:hAnsiTheme="minorEastAsia"/>
          <w:sz w:val="28"/>
          <w:szCs w:val="28"/>
        </w:rPr>
        <w:t>的报价为：</w:t>
      </w:r>
      <w:r>
        <w:rPr>
          <w:rFonts w:asciiTheme="minorEastAsia" w:hAnsiTheme="minorEastAsia"/>
          <w:sz w:val="28"/>
          <w:szCs w:val="28"/>
          <w:u w:val="single"/>
        </w:rPr>
        <w:t>XXXX</w:t>
      </w:r>
      <w:r>
        <w:rPr>
          <w:rFonts w:hint="eastAsia" w:cs="仿宋_GB2312" w:asciiTheme="minorEastAsia" w:hAnsiTheme="minorEastAsia"/>
          <w:sz w:val="28"/>
          <w:szCs w:val="28"/>
          <w:u w:val="single"/>
        </w:rPr>
        <w:t>（具体报价见附件）</w:t>
      </w:r>
      <w:r>
        <w:rPr>
          <w:rFonts w:asciiTheme="minorEastAsia" w:hAnsiTheme="minorEastAsia"/>
          <w:sz w:val="28"/>
          <w:szCs w:val="28"/>
        </w:rPr>
        <w:t>。</w:t>
      </w:r>
    </w:p>
    <w:p w14:paraId="72C640CF">
      <w:pPr>
        <w:spacing w:line="570" w:lineRule="exact"/>
        <w:ind w:right="25"/>
        <w:jc w:val="center"/>
        <w:rPr>
          <w:rFonts w:hint="eastAsia" w:asciiTheme="minorEastAsia" w:hAnsiTheme="minorEastAsia"/>
          <w:sz w:val="28"/>
          <w:szCs w:val="28"/>
        </w:rPr>
      </w:pPr>
    </w:p>
    <w:p w14:paraId="3AB1343E">
      <w:pPr>
        <w:spacing w:line="570" w:lineRule="exact"/>
        <w:ind w:right="25"/>
        <w:jc w:val="center"/>
        <w:rPr>
          <w:rFonts w:hint="eastAsia" w:asciiTheme="minorEastAsia" w:hAnsiTheme="minorEastAsia"/>
          <w:sz w:val="28"/>
          <w:szCs w:val="28"/>
        </w:rPr>
      </w:pPr>
    </w:p>
    <w:p w14:paraId="3B2E0FDB">
      <w:pPr>
        <w:spacing w:line="570" w:lineRule="exact"/>
        <w:ind w:right="25"/>
        <w:jc w:val="center"/>
        <w:rPr>
          <w:rFonts w:hint="eastAsia" w:asciiTheme="minorEastAsia" w:hAnsiTheme="minorEastAsia"/>
          <w:sz w:val="28"/>
          <w:szCs w:val="28"/>
        </w:rPr>
      </w:pPr>
    </w:p>
    <w:p w14:paraId="71231C86">
      <w:pPr>
        <w:spacing w:line="570" w:lineRule="exact"/>
        <w:ind w:right="25"/>
        <w:jc w:val="center"/>
        <w:rPr>
          <w:rFonts w:hint="eastAsia" w:asciiTheme="minorEastAsia" w:hAnsiTheme="minorEastAsia"/>
          <w:sz w:val="28"/>
          <w:szCs w:val="28"/>
        </w:rPr>
      </w:pPr>
    </w:p>
    <w:p w14:paraId="6B0A23F5">
      <w:pPr>
        <w:spacing w:line="570" w:lineRule="exact"/>
        <w:ind w:right="25"/>
        <w:jc w:val="center"/>
        <w:rPr>
          <w:rFonts w:hint="eastAsia" w:asciiTheme="minorEastAsia" w:hAnsiTheme="minorEastAsia"/>
          <w:sz w:val="28"/>
          <w:szCs w:val="28"/>
        </w:rPr>
      </w:pPr>
    </w:p>
    <w:p w14:paraId="7F1261C4">
      <w:pPr>
        <w:spacing w:line="570" w:lineRule="exact"/>
        <w:ind w:right="25"/>
        <w:jc w:val="center"/>
        <w:rPr>
          <w:rFonts w:hint="eastAsia" w:asciiTheme="minorEastAsia" w:hAnsiTheme="minorEastAsia"/>
          <w:sz w:val="28"/>
          <w:szCs w:val="28"/>
          <w:u w:val="single"/>
        </w:rPr>
      </w:pPr>
      <w:r>
        <w:rPr>
          <w:rFonts w:hint="eastAsia" w:asciiTheme="minorEastAsia" w:hAnsiTheme="minorEastAsia"/>
          <w:sz w:val="28"/>
          <w:szCs w:val="28"/>
        </w:rPr>
        <w:t xml:space="preserve"> </w:t>
      </w:r>
      <w:r>
        <w:rPr>
          <w:rFonts w:asciiTheme="minorEastAsia" w:hAnsiTheme="minorEastAsia"/>
          <w:sz w:val="28"/>
          <w:szCs w:val="28"/>
        </w:rPr>
        <w:t xml:space="preserve">        </w:t>
      </w:r>
      <w:r>
        <w:rPr>
          <w:rFonts w:hint="eastAsia" w:asciiTheme="minorEastAsia" w:hAnsiTheme="minorEastAsia"/>
          <w:sz w:val="28"/>
          <w:szCs w:val="28"/>
        </w:rPr>
        <w:t>报价</w:t>
      </w:r>
      <w:r>
        <w:rPr>
          <w:rFonts w:asciiTheme="minorEastAsia" w:hAnsiTheme="minorEastAsia"/>
          <w:sz w:val="28"/>
          <w:szCs w:val="28"/>
        </w:rPr>
        <w:t>单位：</w:t>
      </w:r>
    </w:p>
    <w:p w14:paraId="7F3D8E77">
      <w:pPr>
        <w:wordWrap w:val="0"/>
        <w:spacing w:line="570" w:lineRule="exact"/>
        <w:ind w:right="560" w:firstLine="560" w:firstLineChars="200"/>
        <w:jc w:val="center"/>
        <w:rPr>
          <w:rFonts w:hint="eastAsia" w:asciiTheme="minorEastAsia" w:hAnsiTheme="minorEastAsia"/>
          <w:sz w:val="28"/>
          <w:szCs w:val="28"/>
        </w:rPr>
      </w:pPr>
      <w:r>
        <w:rPr>
          <w:rFonts w:asciiTheme="minorEastAsia" w:hAnsiTheme="minorEastAsia"/>
          <w:sz w:val="28"/>
          <w:szCs w:val="28"/>
        </w:rPr>
        <w:t xml:space="preserve">                       </w:t>
      </w:r>
      <w:r>
        <w:rPr>
          <w:rFonts w:asciiTheme="minorEastAsia" w:hAnsiTheme="minorEastAsia"/>
          <w:sz w:val="28"/>
          <w:szCs w:val="28"/>
          <w:u w:val="single"/>
        </w:rPr>
        <w:t xml:space="preserve">      </w:t>
      </w:r>
      <w:r>
        <w:rPr>
          <w:rFonts w:asciiTheme="minorEastAsia" w:hAnsiTheme="minorEastAsia"/>
          <w:sz w:val="28"/>
          <w:szCs w:val="28"/>
        </w:rPr>
        <w:t>年</w:t>
      </w:r>
      <w:r>
        <w:rPr>
          <w:rFonts w:asciiTheme="minorEastAsia" w:hAnsiTheme="minorEastAsia"/>
          <w:sz w:val="28"/>
          <w:szCs w:val="28"/>
          <w:u w:val="single"/>
        </w:rPr>
        <w:t xml:space="preserve">     </w:t>
      </w:r>
      <w:r>
        <w:rPr>
          <w:rFonts w:asciiTheme="minorEastAsia" w:hAnsiTheme="minorEastAsia"/>
          <w:sz w:val="28"/>
          <w:szCs w:val="28"/>
        </w:rPr>
        <w:t>月</w:t>
      </w:r>
      <w:r>
        <w:rPr>
          <w:rFonts w:asciiTheme="minorEastAsia" w:hAnsiTheme="minorEastAsia"/>
          <w:sz w:val="28"/>
          <w:szCs w:val="28"/>
          <w:u w:val="single"/>
        </w:rPr>
        <w:t xml:space="preserve">    </w:t>
      </w:r>
      <w:r>
        <w:rPr>
          <w:rFonts w:asciiTheme="minorEastAsia" w:hAnsiTheme="minorEastAsia"/>
          <w:sz w:val="28"/>
          <w:szCs w:val="28"/>
        </w:rPr>
        <w:t>日</w:t>
      </w:r>
    </w:p>
    <w:p w14:paraId="778F6B94">
      <w:pPr>
        <w:rPr>
          <w:b/>
          <w:sz w:val="28"/>
        </w:rPr>
      </w:pPr>
    </w:p>
    <w:p w14:paraId="541F12D0">
      <w:pPr>
        <w:widowControl/>
        <w:jc w:val="left"/>
        <w:rPr>
          <w:b/>
          <w:sz w:val="28"/>
          <w:szCs w:val="28"/>
        </w:rPr>
      </w:pPr>
      <w:r>
        <w:rPr>
          <w:b/>
          <w:sz w:val="28"/>
          <w:szCs w:val="28"/>
        </w:rPr>
        <w:br w:type="page"/>
      </w:r>
    </w:p>
    <w:p w14:paraId="47218DC1">
      <w:pPr>
        <w:rPr>
          <w:sz w:val="28"/>
          <w:szCs w:val="28"/>
        </w:rPr>
      </w:pPr>
      <w:r>
        <w:rPr>
          <w:rFonts w:hint="eastAsia"/>
          <w:b/>
          <w:sz w:val="28"/>
          <w:szCs w:val="28"/>
        </w:rPr>
        <w:t>附件二</w:t>
      </w:r>
    </w:p>
    <w:p w14:paraId="6D47F6EF">
      <w:pPr>
        <w:ind w:firstLine="480"/>
        <w:jc w:val="center"/>
      </w:pPr>
    </w:p>
    <w:p w14:paraId="7CD91626">
      <w:pPr>
        <w:ind w:firstLine="480"/>
        <w:jc w:val="center"/>
        <w:rPr>
          <w:sz w:val="28"/>
          <w:szCs w:val="28"/>
        </w:rPr>
      </w:pPr>
      <w:r>
        <w:rPr>
          <w:rFonts w:hint="eastAsia"/>
          <w:b/>
          <w:bCs/>
          <w:sz w:val="28"/>
          <w:szCs w:val="28"/>
        </w:rPr>
        <w:t>2</w:t>
      </w:r>
      <w:r>
        <w:rPr>
          <w:b/>
          <w:bCs/>
          <w:sz w:val="28"/>
          <w:szCs w:val="28"/>
        </w:rPr>
        <w:t>.1</w:t>
      </w:r>
      <w:r>
        <w:rPr>
          <w:rFonts w:hint="eastAsia"/>
          <w:b/>
          <w:bCs/>
          <w:sz w:val="28"/>
          <w:szCs w:val="28"/>
        </w:rPr>
        <w:t>公司债资产评估报价明细表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66"/>
        <w:gridCol w:w="2671"/>
        <w:gridCol w:w="2607"/>
      </w:tblGrid>
      <w:tr w14:paraId="313EE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000" w:type="pct"/>
            <w:gridSpan w:val="3"/>
            <w:vAlign w:val="center"/>
          </w:tcPr>
          <w:p w14:paraId="2F339C3A">
            <w:pPr>
              <w:spacing w:line="570" w:lineRule="exact"/>
              <w:jc w:val="center"/>
              <w:rPr>
                <w:rFonts w:eastAsia="仿宋_GB2312"/>
                <w:b/>
                <w:bCs/>
                <w:kern w:val="0"/>
                <w:sz w:val="28"/>
                <w:szCs w:val="28"/>
              </w:rPr>
            </w:pPr>
            <w:r>
              <w:rPr>
                <w:rFonts w:hint="eastAsia" w:eastAsia="仿宋_GB2312"/>
                <w:b/>
                <w:bCs/>
                <w:kern w:val="0"/>
                <w:sz w:val="28"/>
                <w:szCs w:val="28"/>
              </w:rPr>
              <w:t>茂名滨海发展集团有限公司非公开发行公司债聘请资产</w:t>
            </w:r>
          </w:p>
          <w:p w14:paraId="69FD309D">
            <w:pPr>
              <w:spacing w:line="570" w:lineRule="exact"/>
              <w:jc w:val="center"/>
              <w:rPr>
                <w:rFonts w:eastAsia="仿宋_GB2312"/>
                <w:b/>
                <w:sz w:val="28"/>
                <w:szCs w:val="28"/>
              </w:rPr>
            </w:pPr>
            <w:r>
              <w:rPr>
                <w:rFonts w:hint="eastAsia" w:eastAsia="仿宋_GB2312"/>
                <w:b/>
                <w:bCs/>
                <w:kern w:val="0"/>
                <w:sz w:val="28"/>
                <w:szCs w:val="28"/>
              </w:rPr>
              <w:t>评估机构遴选业务项目</w:t>
            </w:r>
          </w:p>
        </w:tc>
      </w:tr>
      <w:tr w14:paraId="2AEA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2176" w:type="pct"/>
            <w:vAlign w:val="center"/>
          </w:tcPr>
          <w:p w14:paraId="54EAF000">
            <w:pPr>
              <w:spacing w:line="570" w:lineRule="exact"/>
              <w:jc w:val="center"/>
              <w:rPr>
                <w:rFonts w:eastAsia="仿宋_GB2312"/>
                <w:sz w:val="28"/>
                <w:szCs w:val="28"/>
              </w:rPr>
            </w:pPr>
            <w:r>
              <w:rPr>
                <w:rFonts w:eastAsia="仿宋_GB2312"/>
                <w:sz w:val="28"/>
                <w:szCs w:val="28"/>
              </w:rPr>
              <w:t>内容</w:t>
            </w:r>
          </w:p>
        </w:tc>
        <w:tc>
          <w:tcPr>
            <w:tcW w:w="1429" w:type="pct"/>
            <w:vAlign w:val="center"/>
          </w:tcPr>
          <w:p w14:paraId="5406051E">
            <w:pPr>
              <w:spacing w:line="570" w:lineRule="exact"/>
              <w:jc w:val="center"/>
              <w:rPr>
                <w:rFonts w:eastAsia="仿宋_GB2312"/>
                <w:sz w:val="28"/>
                <w:szCs w:val="28"/>
              </w:rPr>
            </w:pPr>
            <w:r>
              <w:rPr>
                <w:rFonts w:hint="eastAsia" w:eastAsia="仿宋_GB2312"/>
                <w:sz w:val="28"/>
                <w:szCs w:val="28"/>
              </w:rPr>
              <w:t>报价</w:t>
            </w:r>
          </w:p>
        </w:tc>
        <w:tc>
          <w:tcPr>
            <w:tcW w:w="1395" w:type="pct"/>
            <w:vAlign w:val="center"/>
          </w:tcPr>
          <w:p w14:paraId="05FF36EE">
            <w:pPr>
              <w:spacing w:line="570" w:lineRule="exact"/>
              <w:jc w:val="center"/>
              <w:rPr>
                <w:rFonts w:eastAsia="仿宋_GB2312"/>
                <w:sz w:val="28"/>
                <w:szCs w:val="28"/>
              </w:rPr>
            </w:pPr>
            <w:r>
              <w:rPr>
                <w:rFonts w:eastAsia="仿宋_GB2312"/>
                <w:sz w:val="28"/>
                <w:szCs w:val="28"/>
              </w:rPr>
              <w:t>备注</w:t>
            </w:r>
          </w:p>
        </w:tc>
      </w:tr>
      <w:tr w14:paraId="6F006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176" w:type="pct"/>
            <w:vAlign w:val="center"/>
          </w:tcPr>
          <w:p w14:paraId="1268A807">
            <w:pPr>
              <w:spacing w:line="570" w:lineRule="exact"/>
              <w:jc w:val="center"/>
              <w:rPr>
                <w:rFonts w:eastAsia="仿宋_GB2312"/>
                <w:sz w:val="28"/>
                <w:szCs w:val="28"/>
              </w:rPr>
            </w:pPr>
            <w:r>
              <w:rPr>
                <w:rFonts w:hint="eastAsia" w:eastAsia="仿宋_GB2312"/>
                <w:b/>
                <w:bCs/>
                <w:kern w:val="0"/>
                <w:sz w:val="28"/>
                <w:szCs w:val="28"/>
              </w:rPr>
              <w:t>公司债聘请资产评估</w:t>
            </w:r>
          </w:p>
        </w:tc>
        <w:tc>
          <w:tcPr>
            <w:tcW w:w="1429" w:type="pct"/>
            <w:vAlign w:val="center"/>
          </w:tcPr>
          <w:p w14:paraId="5402D7FA">
            <w:pPr>
              <w:spacing w:line="570" w:lineRule="exact"/>
              <w:jc w:val="center"/>
              <w:rPr>
                <w:rFonts w:eastAsia="仿宋_GB2312"/>
                <w:sz w:val="28"/>
                <w:szCs w:val="28"/>
              </w:rPr>
            </w:pPr>
          </w:p>
        </w:tc>
        <w:tc>
          <w:tcPr>
            <w:tcW w:w="1395" w:type="pct"/>
            <w:vAlign w:val="center"/>
          </w:tcPr>
          <w:p w14:paraId="0C247DF2">
            <w:pPr>
              <w:spacing w:line="570" w:lineRule="exact"/>
              <w:jc w:val="center"/>
              <w:rPr>
                <w:rFonts w:eastAsia="仿宋_GB2312"/>
                <w:sz w:val="28"/>
                <w:szCs w:val="28"/>
              </w:rPr>
            </w:pPr>
          </w:p>
        </w:tc>
      </w:tr>
    </w:tbl>
    <w:p w14:paraId="7D1CC6E2">
      <w:pPr>
        <w:ind w:firstLine="480"/>
        <w:rPr>
          <w:rFonts w:hint="eastAsia" w:ascii="宋体" w:hAnsi="宋体" w:eastAsia="宋体" w:cs="宋体"/>
        </w:rPr>
      </w:pPr>
    </w:p>
    <w:p w14:paraId="5406CF73">
      <w:pPr>
        <w:spacing w:line="570" w:lineRule="exact"/>
        <w:rPr>
          <w:rFonts w:hint="eastAsia" w:asciiTheme="minorEastAsia" w:hAnsiTheme="minorEastAsia"/>
          <w:sz w:val="28"/>
          <w:szCs w:val="28"/>
        </w:rPr>
      </w:pPr>
      <w:r>
        <w:rPr>
          <w:rFonts w:asciiTheme="minorEastAsia" w:hAnsiTheme="minorEastAsia"/>
          <w:sz w:val="28"/>
          <w:szCs w:val="28"/>
        </w:rPr>
        <w:t>说明:</w:t>
      </w:r>
    </w:p>
    <w:p w14:paraId="245158A7">
      <w:pPr>
        <w:spacing w:line="570" w:lineRule="exact"/>
        <w:ind w:firstLine="560" w:firstLineChars="200"/>
        <w:rPr>
          <w:rFonts w:hint="eastAsia" w:asciiTheme="minorEastAsia" w:hAnsiTheme="minorEastAsia"/>
          <w:sz w:val="28"/>
          <w:szCs w:val="28"/>
        </w:rPr>
      </w:pPr>
      <w:r>
        <w:rPr>
          <w:rFonts w:asciiTheme="minorEastAsia" w:hAnsiTheme="minorEastAsia"/>
          <w:sz w:val="28"/>
          <w:szCs w:val="28"/>
        </w:rPr>
        <w:t>1.本次询价要求采用</w:t>
      </w:r>
      <w:r>
        <w:rPr>
          <w:rFonts w:asciiTheme="minorEastAsia" w:hAnsiTheme="minorEastAsia"/>
          <w:b/>
          <w:bCs/>
          <w:sz w:val="28"/>
          <w:szCs w:val="28"/>
          <w:u w:val="single"/>
        </w:rPr>
        <w:t>含税综合包干</w:t>
      </w:r>
      <w:r>
        <w:rPr>
          <w:rFonts w:hint="eastAsia" w:asciiTheme="minorEastAsia" w:hAnsiTheme="minorEastAsia"/>
          <w:b/>
          <w:bCs/>
          <w:sz w:val="28"/>
          <w:szCs w:val="28"/>
          <w:u w:val="single"/>
        </w:rPr>
        <w:t>总</w:t>
      </w:r>
      <w:r>
        <w:rPr>
          <w:rFonts w:asciiTheme="minorEastAsia" w:hAnsiTheme="minorEastAsia"/>
          <w:b/>
          <w:bCs/>
          <w:sz w:val="28"/>
          <w:szCs w:val="28"/>
          <w:u w:val="single"/>
        </w:rPr>
        <w:t>价方式</w:t>
      </w:r>
      <w:r>
        <w:rPr>
          <w:rFonts w:asciiTheme="minorEastAsia" w:hAnsiTheme="minorEastAsia"/>
          <w:sz w:val="28"/>
          <w:szCs w:val="28"/>
        </w:rPr>
        <w:t>进行报价。</w:t>
      </w:r>
    </w:p>
    <w:p w14:paraId="5FC2CB65">
      <w:pPr>
        <w:spacing w:line="570" w:lineRule="exact"/>
        <w:ind w:firstLine="560" w:firstLineChars="200"/>
        <w:rPr>
          <w:rFonts w:hint="eastAsia" w:asciiTheme="minorEastAsia" w:hAnsiTheme="minorEastAsia"/>
          <w:sz w:val="28"/>
          <w:szCs w:val="28"/>
        </w:rPr>
      </w:pPr>
      <w:r>
        <w:rPr>
          <w:rFonts w:asciiTheme="minorEastAsia" w:hAnsiTheme="minorEastAsia"/>
          <w:sz w:val="28"/>
          <w:szCs w:val="28"/>
        </w:rPr>
        <w:t>2.报价明细表所列项目的包干</w:t>
      </w:r>
      <w:r>
        <w:rPr>
          <w:rFonts w:hint="eastAsia" w:asciiTheme="minorEastAsia" w:hAnsiTheme="minorEastAsia"/>
          <w:sz w:val="28"/>
          <w:szCs w:val="28"/>
        </w:rPr>
        <w:t>总</w:t>
      </w:r>
      <w:r>
        <w:rPr>
          <w:rFonts w:asciiTheme="minorEastAsia" w:hAnsiTheme="minorEastAsia"/>
          <w:sz w:val="28"/>
          <w:szCs w:val="28"/>
        </w:rPr>
        <w:t>价包括人工费、材料费、</w:t>
      </w:r>
      <w:r>
        <w:rPr>
          <w:rFonts w:hint="eastAsia" w:asciiTheme="minorEastAsia" w:hAnsiTheme="minorEastAsia"/>
          <w:sz w:val="28"/>
          <w:szCs w:val="28"/>
        </w:rPr>
        <w:t>差旅</w:t>
      </w:r>
      <w:r>
        <w:rPr>
          <w:rFonts w:asciiTheme="minorEastAsia" w:hAnsiTheme="minorEastAsia"/>
          <w:sz w:val="28"/>
          <w:szCs w:val="28"/>
        </w:rPr>
        <w:t>费、</w:t>
      </w:r>
      <w:r>
        <w:rPr>
          <w:rFonts w:hint="eastAsia" w:asciiTheme="minorEastAsia" w:hAnsiTheme="minorEastAsia"/>
          <w:sz w:val="28"/>
          <w:szCs w:val="28"/>
        </w:rPr>
        <w:t>食宿</w:t>
      </w:r>
      <w:r>
        <w:rPr>
          <w:rFonts w:asciiTheme="minorEastAsia" w:hAnsiTheme="minorEastAsia"/>
          <w:sz w:val="28"/>
          <w:szCs w:val="28"/>
        </w:rPr>
        <w:t>费、</w:t>
      </w:r>
      <w:r>
        <w:rPr>
          <w:rFonts w:hint="eastAsia" w:asciiTheme="minorEastAsia" w:hAnsiTheme="minorEastAsia"/>
          <w:sz w:val="28"/>
          <w:szCs w:val="28"/>
        </w:rPr>
        <w:t>税金</w:t>
      </w:r>
      <w:r>
        <w:rPr>
          <w:rFonts w:asciiTheme="minorEastAsia" w:hAnsiTheme="minorEastAsia"/>
          <w:sz w:val="28"/>
          <w:szCs w:val="28"/>
        </w:rPr>
        <w:t>、</w:t>
      </w:r>
      <w:r>
        <w:rPr>
          <w:rFonts w:hint="eastAsia" w:asciiTheme="minorEastAsia" w:hAnsiTheme="minorEastAsia"/>
          <w:sz w:val="28"/>
          <w:szCs w:val="28"/>
        </w:rPr>
        <w:t>快递费、服务费、管理费、</w:t>
      </w:r>
      <w:r>
        <w:rPr>
          <w:rFonts w:asciiTheme="minorEastAsia" w:hAnsiTheme="minorEastAsia"/>
          <w:sz w:val="28"/>
          <w:szCs w:val="28"/>
        </w:rPr>
        <w:t>利润等，</w:t>
      </w:r>
      <w:r>
        <w:rPr>
          <w:rFonts w:hint="eastAsia" w:asciiTheme="minorEastAsia" w:hAnsiTheme="minorEastAsia"/>
          <w:sz w:val="28"/>
          <w:szCs w:val="28"/>
        </w:rPr>
        <w:t>总报价为项目涉及的服务本项目的所有费用，</w:t>
      </w:r>
      <w:r>
        <w:rPr>
          <w:rFonts w:asciiTheme="minorEastAsia" w:hAnsiTheme="minorEastAsia"/>
          <w:sz w:val="28"/>
          <w:szCs w:val="28"/>
        </w:rPr>
        <w:t>不论实际费用有无发生，亦不论各项费用有无涨落，均不再调整。投标单位须将报价填入表格相应位置。</w:t>
      </w:r>
    </w:p>
    <w:p w14:paraId="4F01BB88">
      <w:pPr>
        <w:ind w:firstLine="480"/>
        <w:rPr>
          <w:rFonts w:hint="eastAsia" w:ascii="宋体" w:hAnsi="宋体" w:eastAsia="宋体" w:cs="宋体"/>
        </w:rPr>
      </w:pPr>
    </w:p>
    <w:p w14:paraId="10842215">
      <w:pPr>
        <w:widowControl/>
        <w:jc w:val="left"/>
        <w:rPr>
          <w:b/>
          <w:sz w:val="28"/>
          <w:szCs w:val="28"/>
        </w:rPr>
      </w:pPr>
      <w:r>
        <w:rPr>
          <w:rFonts w:hint="eastAsia"/>
          <w:b/>
          <w:sz w:val="28"/>
          <w:szCs w:val="28"/>
        </w:rPr>
        <w:br w:type="page"/>
      </w:r>
    </w:p>
    <w:p w14:paraId="381C32A8">
      <w:pPr>
        <w:wordWrap w:val="0"/>
        <w:rPr>
          <w:rFonts w:hint="eastAsia" w:ascii="宋体" w:hAnsi="宋体" w:eastAsia="宋体" w:cs="宋体"/>
        </w:rPr>
      </w:pPr>
      <w:r>
        <w:rPr>
          <w:rFonts w:hint="eastAsia" w:ascii="宋体" w:hAnsi="宋体" w:eastAsia="宋体" w:cs="宋体"/>
          <w:b/>
          <w:sz w:val="28"/>
        </w:rPr>
        <w:t>附件三、项目经验</w:t>
      </w:r>
    </w:p>
    <w:p w14:paraId="2CD02542">
      <w:pPr>
        <w:wordWrap w:val="0"/>
        <w:jc w:val="center"/>
        <w:rPr>
          <w:rFonts w:hint="eastAsia" w:ascii="宋体" w:hAnsi="宋体" w:eastAsia="宋体" w:cs="宋体"/>
          <w:b/>
          <w:sz w:val="24"/>
        </w:rPr>
      </w:pPr>
    </w:p>
    <w:p w14:paraId="483220BB">
      <w:pPr>
        <w:tabs>
          <w:tab w:val="left" w:pos="0"/>
        </w:tabs>
        <w:spacing w:line="560" w:lineRule="exact"/>
        <w:jc w:val="left"/>
        <w:rPr>
          <w:rFonts w:hint="eastAsia" w:asciiTheme="minorEastAsia" w:hAnsiTheme="minorEastAsia"/>
          <w:sz w:val="32"/>
          <w:szCs w:val="32"/>
        </w:rPr>
      </w:pPr>
      <w:r>
        <w:rPr>
          <w:rFonts w:hint="eastAsia" w:asciiTheme="minorEastAsia" w:hAnsiTheme="minorEastAsia"/>
          <w:sz w:val="32"/>
          <w:szCs w:val="32"/>
        </w:rPr>
        <w:t>致茂名滨海发展集团有限公司：</w:t>
      </w:r>
    </w:p>
    <w:p w14:paraId="461E71E9">
      <w:pPr>
        <w:pStyle w:val="22"/>
        <w:widowControl/>
        <w:spacing w:before="180" w:beforeAutospacing="0" w:afterAutospacing="0"/>
        <w:rPr>
          <w:rFonts w:hint="eastAsia" w:asciiTheme="minorEastAsia" w:hAnsiTheme="minorEastAsia"/>
          <w:color w:val="000000"/>
          <w:sz w:val="32"/>
          <w:szCs w:val="32"/>
        </w:rPr>
      </w:pPr>
      <w:r>
        <w:rPr>
          <w:rFonts w:hint="eastAsia" w:asciiTheme="minorEastAsia" w:hAnsiTheme="minorEastAsia"/>
          <w:color w:val="000000"/>
          <w:sz w:val="32"/>
          <w:szCs w:val="32"/>
        </w:rPr>
        <w:t>我方：</w:t>
      </w:r>
      <w:r>
        <w:rPr>
          <w:rFonts w:hint="eastAsia" w:asciiTheme="minorEastAsia" w:hAnsiTheme="minorEastAsia"/>
          <w:color w:val="000000"/>
          <w:sz w:val="32"/>
          <w:szCs w:val="32"/>
          <w:u w:val="single"/>
        </w:rPr>
        <w:t xml:space="preserve">           </w:t>
      </w:r>
      <w:r>
        <w:rPr>
          <w:rFonts w:hint="eastAsia" w:asciiTheme="minorEastAsia" w:hAnsiTheme="minorEastAsia"/>
          <w:color w:val="000000"/>
          <w:sz w:val="32"/>
          <w:szCs w:val="32"/>
        </w:rPr>
        <w:t>（响应人名称）</w:t>
      </w:r>
      <w:r>
        <w:rPr>
          <w:rFonts w:hint="eastAsia" w:ascii="仿宋" w:hAnsi="仿宋" w:eastAsia="仿宋" w:cs="仿宋"/>
          <w:color w:val="000000"/>
          <w:sz w:val="32"/>
          <w:szCs w:val="32"/>
        </w:rPr>
        <w:t>供应商近三年（投标截止时间往前推三年，以合同签订时间为准）完成过与本项目类似的资产评估服务业</w:t>
      </w:r>
      <w:r>
        <w:rPr>
          <w:rFonts w:hint="eastAsia" w:asciiTheme="minorEastAsia" w:hAnsiTheme="minorEastAsia"/>
          <w:color w:val="000000"/>
          <w:sz w:val="32"/>
          <w:szCs w:val="32"/>
        </w:rPr>
        <w:t>绩</w:t>
      </w:r>
    </w:p>
    <w:p w14:paraId="1904D888">
      <w:pPr>
        <w:pStyle w:val="22"/>
        <w:widowControl/>
        <w:spacing w:before="180" w:beforeAutospacing="0" w:afterAutospacing="0"/>
        <w:ind w:firstLine="640" w:firstLineChars="200"/>
        <w:rPr>
          <w:rFonts w:hint="eastAsia" w:asciiTheme="minorEastAsia" w:hAnsiTheme="minorEastAsia"/>
          <w:color w:val="000000"/>
          <w:sz w:val="32"/>
          <w:szCs w:val="32"/>
        </w:rPr>
      </w:pPr>
      <w:r>
        <w:rPr>
          <w:rFonts w:hint="eastAsia" w:asciiTheme="minorEastAsia" w:hAnsiTheme="minorEastAsia"/>
          <w:color w:val="000000"/>
          <w:sz w:val="32"/>
          <w:szCs w:val="32"/>
        </w:rPr>
        <w:t xml:space="preserve">证明材料详见附件。             </w:t>
      </w:r>
    </w:p>
    <w:p w14:paraId="69F3878F">
      <w:pPr>
        <w:tabs>
          <w:tab w:val="left" w:pos="0"/>
        </w:tabs>
        <w:spacing w:line="560" w:lineRule="exact"/>
        <w:ind w:right="640"/>
        <w:jc w:val="right"/>
        <w:rPr>
          <w:rFonts w:hint="eastAsia" w:asciiTheme="minorEastAsia" w:hAnsiTheme="minorEastAsia"/>
          <w:color w:val="000000"/>
          <w:sz w:val="32"/>
          <w:szCs w:val="32"/>
        </w:rPr>
      </w:pPr>
    </w:p>
    <w:p w14:paraId="3EA474F5">
      <w:pPr>
        <w:tabs>
          <w:tab w:val="left" w:pos="0"/>
        </w:tabs>
        <w:spacing w:line="560" w:lineRule="exact"/>
        <w:ind w:right="640"/>
        <w:jc w:val="right"/>
        <w:rPr>
          <w:rFonts w:hint="eastAsia" w:asciiTheme="minorEastAsia" w:hAnsiTheme="minorEastAsia"/>
          <w:color w:val="000000"/>
          <w:sz w:val="32"/>
          <w:szCs w:val="32"/>
        </w:rPr>
      </w:pPr>
    </w:p>
    <w:p w14:paraId="4627A615">
      <w:pPr>
        <w:tabs>
          <w:tab w:val="left" w:pos="0"/>
        </w:tabs>
        <w:spacing w:line="560" w:lineRule="exact"/>
        <w:ind w:right="640"/>
        <w:jc w:val="right"/>
        <w:rPr>
          <w:rFonts w:hint="eastAsia" w:asciiTheme="minorEastAsia" w:hAnsiTheme="minorEastAsia"/>
          <w:sz w:val="32"/>
          <w:szCs w:val="32"/>
        </w:rPr>
      </w:pPr>
      <w:r>
        <w:rPr>
          <w:rFonts w:hint="eastAsia" w:asciiTheme="minorEastAsia" w:hAnsiTheme="minorEastAsia"/>
          <w:color w:val="000000"/>
          <w:sz w:val="32"/>
          <w:szCs w:val="32"/>
        </w:rPr>
        <w:t xml:space="preserve">                       </w:t>
      </w:r>
      <w:r>
        <w:rPr>
          <w:rFonts w:asciiTheme="minorEastAsia" w:hAnsiTheme="minorEastAsia"/>
          <w:sz w:val="32"/>
          <w:szCs w:val="32"/>
        </w:rPr>
        <w:t>响应人</w:t>
      </w:r>
      <w:r>
        <w:rPr>
          <w:rFonts w:hint="eastAsia" w:asciiTheme="minorEastAsia" w:hAnsiTheme="minorEastAsia"/>
          <w:sz w:val="32"/>
          <w:szCs w:val="32"/>
        </w:rPr>
        <w:t>全称（印章）</w:t>
      </w:r>
    </w:p>
    <w:p w14:paraId="7A1B4D9D">
      <w:pPr>
        <w:tabs>
          <w:tab w:val="left" w:pos="0"/>
        </w:tabs>
        <w:spacing w:line="560" w:lineRule="exact"/>
        <w:ind w:right="960"/>
        <w:jc w:val="right"/>
        <w:rPr>
          <w:rFonts w:hint="eastAsia" w:asciiTheme="minorEastAsia" w:hAnsiTheme="minorEastAsia"/>
          <w:sz w:val="32"/>
          <w:szCs w:val="32"/>
        </w:rPr>
      </w:pPr>
      <w:r>
        <w:rPr>
          <w:rFonts w:hint="eastAsia" w:asciiTheme="minorEastAsia" w:hAnsiTheme="minorEastAsia"/>
          <w:sz w:val="32"/>
          <w:szCs w:val="32"/>
        </w:rPr>
        <w:t>2</w:t>
      </w:r>
      <w:r>
        <w:rPr>
          <w:rFonts w:asciiTheme="minorEastAsia" w:hAnsiTheme="minorEastAsia"/>
          <w:sz w:val="32"/>
          <w:szCs w:val="32"/>
        </w:rPr>
        <w:t>02</w:t>
      </w:r>
      <w:r>
        <w:rPr>
          <w:rFonts w:hint="eastAsia" w:asciiTheme="minorEastAsia" w:hAnsiTheme="minorEastAsia"/>
          <w:sz w:val="32"/>
          <w:szCs w:val="32"/>
        </w:rPr>
        <w:t>6</w:t>
      </w:r>
      <w:r>
        <w:rPr>
          <w:rFonts w:asciiTheme="minorEastAsia" w:hAnsiTheme="minorEastAsia"/>
          <w:sz w:val="32"/>
          <w:szCs w:val="32"/>
        </w:rPr>
        <w:t>年</w:t>
      </w:r>
      <w:r>
        <w:rPr>
          <w:rFonts w:hint="eastAsia" w:asciiTheme="minorEastAsia" w:hAnsiTheme="minorEastAsia"/>
          <w:sz w:val="32"/>
          <w:szCs w:val="32"/>
        </w:rPr>
        <w:t xml:space="preserve"> </w:t>
      </w:r>
      <w:r>
        <w:rPr>
          <w:rFonts w:asciiTheme="minorEastAsia" w:hAnsiTheme="minorEastAsia"/>
          <w:sz w:val="32"/>
          <w:szCs w:val="32"/>
        </w:rPr>
        <w:t xml:space="preserve"> 月</w:t>
      </w:r>
      <w:r>
        <w:rPr>
          <w:rFonts w:hint="eastAsia" w:asciiTheme="minorEastAsia" w:hAnsiTheme="minorEastAsia"/>
          <w:sz w:val="32"/>
          <w:szCs w:val="32"/>
        </w:rPr>
        <w:t xml:space="preserve"> </w:t>
      </w:r>
      <w:r>
        <w:rPr>
          <w:rFonts w:asciiTheme="minorEastAsia" w:hAnsiTheme="minorEastAsia"/>
          <w:sz w:val="32"/>
          <w:szCs w:val="32"/>
        </w:rPr>
        <w:t xml:space="preserve"> 日</w:t>
      </w:r>
    </w:p>
    <w:p w14:paraId="047D8603">
      <w:pPr>
        <w:pStyle w:val="20"/>
        <w:ind w:left="420" w:right="17"/>
        <w:rPr>
          <w:rFonts w:hint="eastAsia" w:asciiTheme="minorEastAsia" w:hAnsiTheme="minorEastAsia" w:eastAsiaTheme="minorEastAsia"/>
        </w:rPr>
      </w:pPr>
    </w:p>
    <w:p w14:paraId="5E8ACBDF">
      <w:pPr>
        <w:wordWrap w:val="0"/>
        <w:ind w:firstLine="480"/>
        <w:rPr>
          <w:rFonts w:hint="eastAsia" w:cs="宋体" w:asciiTheme="minorEastAsia" w:hAnsiTheme="minorEastAsia"/>
        </w:rPr>
      </w:pPr>
    </w:p>
    <w:p w14:paraId="0DBC1F5A">
      <w:pPr>
        <w:wordWrap w:val="0"/>
        <w:rPr>
          <w:rFonts w:hint="eastAsia" w:ascii="宋体" w:hAnsi="宋体" w:eastAsia="宋体" w:cs="宋体"/>
        </w:rPr>
      </w:pPr>
    </w:p>
    <w:p w14:paraId="050B8469">
      <w:pPr>
        <w:wordWrap w:val="0"/>
        <w:rPr>
          <w:rFonts w:hint="eastAsia" w:ascii="宋体" w:hAnsi="宋体" w:eastAsia="宋体" w:cs="宋体"/>
        </w:rPr>
      </w:pPr>
    </w:p>
    <w:p w14:paraId="25E352EA">
      <w:pPr>
        <w:wordWrap w:val="0"/>
        <w:rPr>
          <w:rFonts w:hint="eastAsia" w:ascii="宋体" w:hAnsi="宋体" w:eastAsia="宋体" w:cs="宋体"/>
          <w:b/>
          <w:sz w:val="28"/>
        </w:rPr>
      </w:pPr>
    </w:p>
    <w:sectPr>
      <w:footerReference r:id="rId4" w:type="default"/>
      <w:pgSz w:w="11906" w:h="16838"/>
      <w:pgMar w:top="1247" w:right="1389" w:bottom="1587" w:left="1389" w:header="1134" w:footer="737" w:gutter="0"/>
      <w:cols w:space="0" w:num="1"/>
      <w:docGrid w:type="lines" w:linePitch="3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Arial">
    <w:panose1 w:val="020B0604020202020204"/>
    <w:charset w:val="00"/>
    <w:family w:val="swiss"/>
    <w:pitch w:val="default"/>
    <w:sig w:usb0="E0002EFF" w:usb1="C000785B" w:usb2="00000009" w:usb3="00000000" w:csb0="400001FF" w:csb1="FFFF0000"/>
  </w:font>
  <w:font w:name="New York">
    <w:altName w:val="DejaVu Math TeX Gyre"/>
    <w:panose1 w:val="02040503060506020304"/>
    <w:charset w:val="00"/>
    <w:family w:val="roman"/>
    <w:pitch w:val="default"/>
    <w:sig w:usb0="00000000" w:usb1="00000000" w:usb2="00000000" w:usb3="00000000" w:csb0="00000001"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1B340">
    <w:pPr>
      <w:pStyle w:val="14"/>
      <w:tabs>
        <w:tab w:val="center" w:pos="4564"/>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FA018">
    <w:pPr>
      <w:pStyle w:val="14"/>
      <w:tabs>
        <w:tab w:val="center" w:pos="4564"/>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6C075D">
                          <w:pPr>
                            <w:pStyle w:val="14"/>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66C075D">
                    <w:pPr>
                      <w:pStyle w:val="14"/>
                    </w:pPr>
                    <w:r>
                      <w:fldChar w:fldCharType="begin"/>
                    </w:r>
                    <w:r>
                      <w:instrText xml:space="preserve"> PAGE  \* MERGEFORMAT </w:instrText>
                    </w:r>
                    <w:r>
                      <w:fldChar w:fldCharType="separate"/>
                    </w:r>
                    <w:r>
                      <w:t>42</w:t>
                    </w:r>
                    <w:r>
                      <w:fldChar w:fldCharType="end"/>
                    </w:r>
                  </w:p>
                </w:txbxContent>
              </v:textbox>
            </v:shape>
          </w:pict>
        </mc:Fallback>
      </mc:AlternateContent>
    </w:r>
    <w:r>
      <w:rPr>
        <w:rFonts w:hint="eastAsia"/>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lvlText w:val="%1."/>
      <w:lvlJc w:val="left"/>
      <w:pPr>
        <w:tabs>
          <w:tab w:val="left" w:pos="624"/>
        </w:tabs>
        <w:ind w:left="624" w:hanging="624"/>
      </w:pPr>
      <w:rPr>
        <w:rFonts w:hint="default" w:ascii="Arial" w:hAnsi="Arial"/>
        <w:b w:val="0"/>
        <w:i w:val="0"/>
        <w:sz w:val="20"/>
      </w:rPr>
    </w:lvl>
    <w:lvl w:ilvl="1" w:tentative="0">
      <w:start w:val="1"/>
      <w:numFmt w:val="decimal"/>
      <w:pStyle w:val="57"/>
      <w:lvlText w:val="%1.%2"/>
      <w:lvlJc w:val="left"/>
      <w:pPr>
        <w:tabs>
          <w:tab w:val="left" w:pos="624"/>
        </w:tabs>
        <w:ind w:left="624" w:hanging="624"/>
      </w:pPr>
      <w:rPr>
        <w:rFonts w:hint="default" w:ascii="Times New Roman" w:hAnsi="Times New Roman"/>
        <w:b w:val="0"/>
        <w:i w:val="0"/>
        <w:sz w:val="24"/>
      </w:rPr>
    </w:lvl>
    <w:lvl w:ilvl="2" w:tentative="0">
      <w:start w:val="1"/>
      <w:numFmt w:val="decimal"/>
      <w:lvlText w:val="(%3)"/>
      <w:lvlJc w:val="left"/>
      <w:pPr>
        <w:tabs>
          <w:tab w:val="left" w:pos="624"/>
        </w:tabs>
        <w:ind w:left="624" w:hanging="624"/>
      </w:pPr>
      <w:rPr>
        <w:rFonts w:hint="default" w:ascii="Arial" w:hAnsi="Arial"/>
        <w:b w:val="0"/>
        <w:i w:val="0"/>
        <w:sz w:val="24"/>
      </w:rPr>
    </w:lvl>
    <w:lvl w:ilvl="3" w:tentative="0">
      <w:start w:val="1"/>
      <w:numFmt w:val="decimal"/>
      <w:lvlText w:val="%1.%2.%4"/>
      <w:lvlJc w:val="left"/>
      <w:pPr>
        <w:tabs>
          <w:tab w:val="left" w:pos="1361"/>
        </w:tabs>
        <w:ind w:left="1361" w:hanging="737"/>
      </w:pPr>
      <w:rPr>
        <w:rFonts w:hint="default" w:ascii="Times New Roman" w:hAnsi="Times New Roman"/>
        <w:b w:val="0"/>
        <w:i w:val="0"/>
        <w:sz w:val="24"/>
      </w:rPr>
    </w:lvl>
    <w:lvl w:ilvl="4" w:tentative="0">
      <w:start w:val="1"/>
      <w:numFmt w:val="lowerLetter"/>
      <w:lvlText w:val="(%5)"/>
      <w:lvlJc w:val="left"/>
      <w:pPr>
        <w:tabs>
          <w:tab w:val="left" w:pos="1361"/>
        </w:tabs>
        <w:ind w:left="1361" w:hanging="737"/>
      </w:pPr>
      <w:rPr>
        <w:rFonts w:hint="default" w:ascii="Arial" w:hAnsi="Arial"/>
        <w:b w:val="0"/>
        <w:i w:val="0"/>
        <w:sz w:val="20"/>
      </w:rPr>
    </w:lvl>
    <w:lvl w:ilvl="5" w:tentative="0">
      <w:start w:val="1"/>
      <w:numFmt w:val="lowerRoman"/>
      <w:lvlText w:val="(%6)"/>
      <w:lvlJc w:val="left"/>
      <w:pPr>
        <w:tabs>
          <w:tab w:val="left" w:pos="2041"/>
        </w:tabs>
        <w:ind w:left="2041" w:hanging="680"/>
      </w:pPr>
      <w:rPr>
        <w:rFonts w:hint="default" w:ascii="Arial" w:hAnsi="Arial"/>
        <w:b w:val="0"/>
        <w:i w:val="0"/>
        <w:sz w:val="20"/>
      </w:rPr>
    </w:lvl>
    <w:lvl w:ilvl="6" w:tentative="0">
      <w:start w:val="1"/>
      <w:numFmt w:val="upperLetter"/>
      <w:lvlText w:val="(%7)"/>
      <w:lvlJc w:val="left"/>
      <w:pPr>
        <w:tabs>
          <w:tab w:val="left" w:pos="2041"/>
        </w:tabs>
        <w:ind w:left="2041" w:hanging="680"/>
      </w:pPr>
      <w:rPr>
        <w:rFonts w:hint="default" w:ascii="Arial" w:hAnsi="Arial"/>
        <w:b w:val="0"/>
        <w:i w:val="0"/>
        <w:sz w:val="20"/>
      </w:rPr>
    </w:lvl>
    <w:lvl w:ilvl="7" w:tentative="0">
      <w:start w:val="1"/>
      <w:numFmt w:val="upperLetter"/>
      <w:lvlText w:val="(%8)"/>
      <w:lvlJc w:val="left"/>
      <w:pPr>
        <w:tabs>
          <w:tab w:val="left" w:pos="2722"/>
        </w:tabs>
        <w:ind w:left="2722" w:hanging="681"/>
      </w:pPr>
      <w:rPr>
        <w:rFonts w:hint="default" w:ascii="Arial" w:hAnsi="Arial"/>
        <w:b w:val="0"/>
        <w:i w:val="0"/>
        <w:sz w:val="20"/>
      </w:rPr>
    </w:lvl>
    <w:lvl w:ilvl="8" w:tentative="0">
      <w:start w:val="1"/>
      <w:numFmt w:val="none"/>
      <w:lvlText w:val=""/>
      <w:lvlJc w:val="left"/>
      <w:pPr>
        <w:tabs>
          <w:tab w:val="left" w:pos="4320"/>
        </w:tabs>
        <w:ind w:left="4320" w:hanging="1440"/>
      </w:pPr>
      <w:rPr>
        <w:rFonts w:hint="eastAsia"/>
      </w:rPr>
    </w:lvl>
  </w:abstractNum>
  <w:abstractNum w:abstractNumId="1">
    <w:nsid w:val="0000000B"/>
    <w:multiLevelType w:val="multilevel"/>
    <w:tmpl w:val="0000000B"/>
    <w:lvl w:ilvl="0" w:tentative="0">
      <w:start w:val="1"/>
      <w:numFmt w:val="decimal"/>
      <w:lvlText w:val="%1."/>
      <w:lvlJc w:val="left"/>
      <w:pPr>
        <w:tabs>
          <w:tab w:val="left" w:pos="720"/>
        </w:tabs>
        <w:ind w:left="0" w:firstLine="0"/>
      </w:pPr>
      <w:rPr>
        <w:rFonts w:ascii="Times New Roman" w:hAnsi="Times New Roman"/>
        <w:b/>
        <w:i w:val="0"/>
        <w:color w:val="auto"/>
        <w:u w:val="none"/>
      </w:rPr>
    </w:lvl>
    <w:lvl w:ilvl="1" w:tentative="0">
      <w:start w:val="1"/>
      <w:numFmt w:val="decimal"/>
      <w:lvlText w:val="%1.%2"/>
      <w:lvlJc w:val="left"/>
      <w:pPr>
        <w:tabs>
          <w:tab w:val="left" w:pos="720"/>
        </w:tabs>
        <w:ind w:left="0" w:firstLine="0"/>
      </w:pPr>
      <w:rPr>
        <w:rFonts w:ascii="Times New Roman" w:hAnsi="Times New Roman"/>
        <w:b w:val="0"/>
        <w:i w:val="0"/>
        <w:color w:val="auto"/>
        <w:u w:val="none"/>
      </w:rPr>
    </w:lvl>
    <w:lvl w:ilvl="2" w:tentative="0">
      <w:start w:val="1"/>
      <w:numFmt w:val="lowerLetter"/>
      <w:lvlText w:val="(%3)"/>
      <w:lvlJc w:val="left"/>
      <w:pPr>
        <w:tabs>
          <w:tab w:val="left" w:pos="720"/>
        </w:tabs>
        <w:ind w:left="720" w:hanging="720"/>
      </w:pPr>
      <w:rPr>
        <w:rFonts w:ascii="Times New Roman" w:hAnsi="Times New Roman"/>
        <w:b w:val="0"/>
        <w:i w:val="0"/>
        <w:color w:val="auto"/>
        <w:u w:val="none"/>
      </w:rPr>
    </w:lvl>
    <w:lvl w:ilvl="3" w:tentative="0">
      <w:start w:val="1"/>
      <w:numFmt w:val="lowerRoman"/>
      <w:pStyle w:val="58"/>
      <w:lvlText w:val="(%4)"/>
      <w:lvlJc w:val="right"/>
      <w:pPr>
        <w:tabs>
          <w:tab w:val="left" w:pos="1440"/>
        </w:tabs>
        <w:ind w:left="1440" w:hanging="216"/>
      </w:pPr>
      <w:rPr>
        <w:rFonts w:ascii="Times New Roman" w:hAnsi="Times New Roman"/>
        <w:b w:val="0"/>
        <w:i w:val="0"/>
        <w:color w:val="auto"/>
        <w:u w:val="none"/>
      </w:rPr>
    </w:lvl>
    <w:lvl w:ilvl="4" w:tentative="0">
      <w:start w:val="1"/>
      <w:numFmt w:val="upperLetter"/>
      <w:lvlText w:val="(%5)"/>
      <w:lvlJc w:val="left"/>
      <w:pPr>
        <w:tabs>
          <w:tab w:val="left" w:pos="2160"/>
        </w:tabs>
        <w:ind w:left="2160" w:hanging="720"/>
      </w:pPr>
      <w:rPr>
        <w:rFonts w:ascii="Times New Roman" w:hAnsi="Times New Roman"/>
        <w:b w:val="0"/>
        <w:i w:val="0"/>
        <w:color w:val="auto"/>
        <w:u w:val="none"/>
      </w:rPr>
    </w:lvl>
    <w:lvl w:ilvl="5" w:tentative="0">
      <w:start w:val="1"/>
      <w:numFmt w:val="upperRoman"/>
      <w:lvlText w:val="(%6)"/>
      <w:lvlJc w:val="right"/>
      <w:pPr>
        <w:tabs>
          <w:tab w:val="left" w:pos="2880"/>
        </w:tabs>
        <w:ind w:left="2880" w:hanging="216"/>
      </w:pPr>
      <w:rPr>
        <w:rFonts w:ascii="Times New Roman" w:hAnsi="Times New Roman"/>
        <w:b w:val="0"/>
        <w:i w:val="0"/>
        <w:color w:val="auto"/>
        <w:u w:val="none"/>
      </w:rPr>
    </w:lvl>
    <w:lvl w:ilvl="6" w:tentative="0">
      <w:start w:val="27"/>
      <w:numFmt w:val="lowerLetter"/>
      <w:lvlText w:val="(%7)"/>
      <w:lvlJc w:val="left"/>
      <w:pPr>
        <w:tabs>
          <w:tab w:val="left" w:pos="3600"/>
        </w:tabs>
        <w:ind w:left="3600" w:hanging="720"/>
      </w:pPr>
      <w:rPr>
        <w:rFonts w:ascii="Times New Roman" w:hAnsi="Times New Roman"/>
        <w:b w:val="0"/>
        <w:i w:val="0"/>
        <w:color w:val="auto"/>
        <w:u w:val="none"/>
      </w:rPr>
    </w:lvl>
    <w:lvl w:ilvl="7" w:tentative="0">
      <w:start w:val="1"/>
      <w:numFmt w:val="decimal"/>
      <w:lvlText w:val="(%8)"/>
      <w:lvlJc w:val="left"/>
      <w:pPr>
        <w:tabs>
          <w:tab w:val="left" w:pos="4320"/>
        </w:tabs>
        <w:ind w:left="4320" w:hanging="720"/>
      </w:pPr>
      <w:rPr>
        <w:rFonts w:ascii="Times New Roman" w:hAnsi="Times New Roman"/>
        <w:b w:val="0"/>
        <w:i w:val="0"/>
        <w:color w:val="auto"/>
        <w:u w:val="none"/>
      </w:rPr>
    </w:lvl>
    <w:lvl w:ilvl="8" w:tentative="0">
      <w:start w:val="1"/>
      <w:numFmt w:val="lowerRoman"/>
      <w:lvlText w:val="%9)"/>
      <w:lvlJc w:val="left"/>
      <w:pPr>
        <w:tabs>
          <w:tab w:val="left" w:pos="5760"/>
        </w:tabs>
        <w:ind w:left="5760" w:hanging="720"/>
      </w:pPr>
      <w:rPr>
        <w:rFonts w:ascii="Times New Roman" w:hAnsi="Times New Roman"/>
        <w:b w:val="0"/>
        <w:i w:val="0"/>
        <w:color w:val="auto"/>
        <w:u w:val="none"/>
      </w:rPr>
    </w:lvl>
  </w:abstractNum>
  <w:abstractNum w:abstractNumId="2">
    <w:nsid w:val="018C7732"/>
    <w:multiLevelType w:val="multilevel"/>
    <w:tmpl w:val="018C7732"/>
    <w:lvl w:ilvl="0" w:tentative="0">
      <w:start w:val="2"/>
      <w:numFmt w:val="none"/>
      <w:lvlText w:val="二、"/>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VerticalSpacing w:val="16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0N2QzZGIzMDYyNGE4ODlmYmY0ZGM0MTYxOTZmYjIifQ=="/>
  </w:docVars>
  <w:rsids>
    <w:rsidRoot w:val="00172A27"/>
    <w:rsid w:val="00013BAC"/>
    <w:rsid w:val="0002297B"/>
    <w:rsid w:val="000507FD"/>
    <w:rsid w:val="00053001"/>
    <w:rsid w:val="00053D61"/>
    <w:rsid w:val="00157283"/>
    <w:rsid w:val="0016554A"/>
    <w:rsid w:val="00172A27"/>
    <w:rsid w:val="001B1AA7"/>
    <w:rsid w:val="001E379C"/>
    <w:rsid w:val="001F5F5E"/>
    <w:rsid w:val="002351C1"/>
    <w:rsid w:val="00265CBA"/>
    <w:rsid w:val="002E5808"/>
    <w:rsid w:val="00337618"/>
    <w:rsid w:val="004716E0"/>
    <w:rsid w:val="004C55A0"/>
    <w:rsid w:val="004C596A"/>
    <w:rsid w:val="004E4CD5"/>
    <w:rsid w:val="00550DA7"/>
    <w:rsid w:val="00572773"/>
    <w:rsid w:val="00572CAF"/>
    <w:rsid w:val="00602E5F"/>
    <w:rsid w:val="00694AEA"/>
    <w:rsid w:val="006E6AB0"/>
    <w:rsid w:val="00713B79"/>
    <w:rsid w:val="007E29DF"/>
    <w:rsid w:val="00840421"/>
    <w:rsid w:val="00894A49"/>
    <w:rsid w:val="008B408A"/>
    <w:rsid w:val="008D2FC1"/>
    <w:rsid w:val="009360EA"/>
    <w:rsid w:val="00953D23"/>
    <w:rsid w:val="009C11D0"/>
    <w:rsid w:val="009D2702"/>
    <w:rsid w:val="009D61AD"/>
    <w:rsid w:val="00AC1496"/>
    <w:rsid w:val="00AF4996"/>
    <w:rsid w:val="00B464B0"/>
    <w:rsid w:val="00B97B36"/>
    <w:rsid w:val="00BD6695"/>
    <w:rsid w:val="00BD7458"/>
    <w:rsid w:val="00C079C7"/>
    <w:rsid w:val="00C1583D"/>
    <w:rsid w:val="00C300D8"/>
    <w:rsid w:val="00C31567"/>
    <w:rsid w:val="00C51EDC"/>
    <w:rsid w:val="00C662E7"/>
    <w:rsid w:val="00C669CF"/>
    <w:rsid w:val="00C823CF"/>
    <w:rsid w:val="00C85EBA"/>
    <w:rsid w:val="00C91D94"/>
    <w:rsid w:val="00CA1C8B"/>
    <w:rsid w:val="00CA4102"/>
    <w:rsid w:val="00CD0E24"/>
    <w:rsid w:val="00CD4EB2"/>
    <w:rsid w:val="00DC61D9"/>
    <w:rsid w:val="00EC7509"/>
    <w:rsid w:val="00F2195C"/>
    <w:rsid w:val="00F67BB0"/>
    <w:rsid w:val="00FA2D5C"/>
    <w:rsid w:val="00FA7D18"/>
    <w:rsid w:val="00FB6252"/>
    <w:rsid w:val="00FB7E4C"/>
    <w:rsid w:val="00FF56BA"/>
    <w:rsid w:val="01A07BF1"/>
    <w:rsid w:val="02203B3A"/>
    <w:rsid w:val="026E51A3"/>
    <w:rsid w:val="02A8006D"/>
    <w:rsid w:val="03114E78"/>
    <w:rsid w:val="031971BB"/>
    <w:rsid w:val="032558AB"/>
    <w:rsid w:val="03506E5B"/>
    <w:rsid w:val="03653B89"/>
    <w:rsid w:val="03715C14"/>
    <w:rsid w:val="038F541B"/>
    <w:rsid w:val="03A05108"/>
    <w:rsid w:val="03A237AA"/>
    <w:rsid w:val="03C84489"/>
    <w:rsid w:val="03D83FA9"/>
    <w:rsid w:val="04020397"/>
    <w:rsid w:val="042A6EF2"/>
    <w:rsid w:val="0457685A"/>
    <w:rsid w:val="048160DA"/>
    <w:rsid w:val="04CE7393"/>
    <w:rsid w:val="04ED2129"/>
    <w:rsid w:val="04F62E91"/>
    <w:rsid w:val="057E74F5"/>
    <w:rsid w:val="05C90E32"/>
    <w:rsid w:val="05F17CC7"/>
    <w:rsid w:val="05F72B50"/>
    <w:rsid w:val="060F45F1"/>
    <w:rsid w:val="06780CED"/>
    <w:rsid w:val="06B36F9C"/>
    <w:rsid w:val="06D43123"/>
    <w:rsid w:val="07155C37"/>
    <w:rsid w:val="071F0976"/>
    <w:rsid w:val="071F53EF"/>
    <w:rsid w:val="07302A71"/>
    <w:rsid w:val="07351E35"/>
    <w:rsid w:val="073C7668"/>
    <w:rsid w:val="076D7821"/>
    <w:rsid w:val="0773573F"/>
    <w:rsid w:val="07BA233A"/>
    <w:rsid w:val="07D03D30"/>
    <w:rsid w:val="08754CB1"/>
    <w:rsid w:val="087B41C0"/>
    <w:rsid w:val="08892439"/>
    <w:rsid w:val="08A73267"/>
    <w:rsid w:val="08C711B3"/>
    <w:rsid w:val="093A3A88"/>
    <w:rsid w:val="097E5D15"/>
    <w:rsid w:val="098D4402"/>
    <w:rsid w:val="09DA6CC4"/>
    <w:rsid w:val="0A172F0E"/>
    <w:rsid w:val="0A1C108A"/>
    <w:rsid w:val="0A3665F0"/>
    <w:rsid w:val="0AF11713"/>
    <w:rsid w:val="0B2B77D7"/>
    <w:rsid w:val="0B41349E"/>
    <w:rsid w:val="0B975FE7"/>
    <w:rsid w:val="0B9F01C5"/>
    <w:rsid w:val="0BA63302"/>
    <w:rsid w:val="0BD435EF"/>
    <w:rsid w:val="0BF91D2F"/>
    <w:rsid w:val="0C104C1F"/>
    <w:rsid w:val="0C146407"/>
    <w:rsid w:val="0C57459F"/>
    <w:rsid w:val="0C5D4368"/>
    <w:rsid w:val="0C724903"/>
    <w:rsid w:val="0C9D1DB5"/>
    <w:rsid w:val="0CD90318"/>
    <w:rsid w:val="0CF1438A"/>
    <w:rsid w:val="0D2178F2"/>
    <w:rsid w:val="0D44494D"/>
    <w:rsid w:val="0D4B68A4"/>
    <w:rsid w:val="0D4C7ED9"/>
    <w:rsid w:val="0D692839"/>
    <w:rsid w:val="0D9553DC"/>
    <w:rsid w:val="0DA10929"/>
    <w:rsid w:val="0DF65182"/>
    <w:rsid w:val="0DFE11D3"/>
    <w:rsid w:val="0E232655"/>
    <w:rsid w:val="0E3B6B3F"/>
    <w:rsid w:val="0E3D0E0D"/>
    <w:rsid w:val="0E7C47EE"/>
    <w:rsid w:val="0E9438E5"/>
    <w:rsid w:val="0E9D6C3E"/>
    <w:rsid w:val="0EE045D3"/>
    <w:rsid w:val="0F1354BD"/>
    <w:rsid w:val="0F243AF1"/>
    <w:rsid w:val="0F2509E1"/>
    <w:rsid w:val="0FB55BE6"/>
    <w:rsid w:val="101326E4"/>
    <w:rsid w:val="10320A60"/>
    <w:rsid w:val="1036328F"/>
    <w:rsid w:val="109847C5"/>
    <w:rsid w:val="10C761F4"/>
    <w:rsid w:val="11204D4B"/>
    <w:rsid w:val="11624AF5"/>
    <w:rsid w:val="1166070B"/>
    <w:rsid w:val="11691152"/>
    <w:rsid w:val="116E48C1"/>
    <w:rsid w:val="11805D69"/>
    <w:rsid w:val="11AA4ADA"/>
    <w:rsid w:val="11DD37F5"/>
    <w:rsid w:val="1216028B"/>
    <w:rsid w:val="125D5B12"/>
    <w:rsid w:val="12614E33"/>
    <w:rsid w:val="128819B3"/>
    <w:rsid w:val="129A3494"/>
    <w:rsid w:val="12DD0247"/>
    <w:rsid w:val="13710699"/>
    <w:rsid w:val="13BA3DEE"/>
    <w:rsid w:val="13C702B9"/>
    <w:rsid w:val="13D65090"/>
    <w:rsid w:val="13F7476C"/>
    <w:rsid w:val="14186D67"/>
    <w:rsid w:val="144E645A"/>
    <w:rsid w:val="1466165D"/>
    <w:rsid w:val="1468384A"/>
    <w:rsid w:val="149208D1"/>
    <w:rsid w:val="14A27F30"/>
    <w:rsid w:val="14DD5E16"/>
    <w:rsid w:val="1515663A"/>
    <w:rsid w:val="15CF0E13"/>
    <w:rsid w:val="162E461F"/>
    <w:rsid w:val="167A1613"/>
    <w:rsid w:val="16E52028"/>
    <w:rsid w:val="17277929"/>
    <w:rsid w:val="177046E7"/>
    <w:rsid w:val="177F50ED"/>
    <w:rsid w:val="178C784F"/>
    <w:rsid w:val="17A209AB"/>
    <w:rsid w:val="17F70FF7"/>
    <w:rsid w:val="1809619F"/>
    <w:rsid w:val="182757CA"/>
    <w:rsid w:val="18CD193E"/>
    <w:rsid w:val="18D154BE"/>
    <w:rsid w:val="18DD45D5"/>
    <w:rsid w:val="18DF3441"/>
    <w:rsid w:val="19096B98"/>
    <w:rsid w:val="19341991"/>
    <w:rsid w:val="1935574D"/>
    <w:rsid w:val="19381275"/>
    <w:rsid w:val="196565AA"/>
    <w:rsid w:val="196A3BC0"/>
    <w:rsid w:val="1977008B"/>
    <w:rsid w:val="197B3498"/>
    <w:rsid w:val="19A1335A"/>
    <w:rsid w:val="19D7489A"/>
    <w:rsid w:val="19D771B1"/>
    <w:rsid w:val="1A291110"/>
    <w:rsid w:val="1A3B1803"/>
    <w:rsid w:val="1A495ECC"/>
    <w:rsid w:val="1A53592E"/>
    <w:rsid w:val="1A5C37C6"/>
    <w:rsid w:val="1A7C1DC5"/>
    <w:rsid w:val="1A832367"/>
    <w:rsid w:val="1AB53561"/>
    <w:rsid w:val="1AD260D2"/>
    <w:rsid w:val="1AEA42E1"/>
    <w:rsid w:val="1B3721C8"/>
    <w:rsid w:val="1B373F76"/>
    <w:rsid w:val="1B4629CA"/>
    <w:rsid w:val="1B46385E"/>
    <w:rsid w:val="1B53410F"/>
    <w:rsid w:val="1B79633D"/>
    <w:rsid w:val="1BA85664"/>
    <w:rsid w:val="1BB05437"/>
    <w:rsid w:val="1C03142F"/>
    <w:rsid w:val="1C157456"/>
    <w:rsid w:val="1C18494F"/>
    <w:rsid w:val="1C2A7637"/>
    <w:rsid w:val="1CE63138"/>
    <w:rsid w:val="1CF8549F"/>
    <w:rsid w:val="1D01483C"/>
    <w:rsid w:val="1D943902"/>
    <w:rsid w:val="1DA827EC"/>
    <w:rsid w:val="1E421692"/>
    <w:rsid w:val="1E440E78"/>
    <w:rsid w:val="1E9E3E40"/>
    <w:rsid w:val="1ED61CF8"/>
    <w:rsid w:val="1EE462EE"/>
    <w:rsid w:val="1F40287C"/>
    <w:rsid w:val="1F511F69"/>
    <w:rsid w:val="1F6258ED"/>
    <w:rsid w:val="1F79042F"/>
    <w:rsid w:val="1FCF0C21"/>
    <w:rsid w:val="1FE30BF5"/>
    <w:rsid w:val="206361D6"/>
    <w:rsid w:val="20743577"/>
    <w:rsid w:val="208A0FEC"/>
    <w:rsid w:val="211A2622"/>
    <w:rsid w:val="211C6BFE"/>
    <w:rsid w:val="211D776A"/>
    <w:rsid w:val="21705699"/>
    <w:rsid w:val="217934DB"/>
    <w:rsid w:val="21823A71"/>
    <w:rsid w:val="21884FEE"/>
    <w:rsid w:val="21E27ABF"/>
    <w:rsid w:val="228716BE"/>
    <w:rsid w:val="22C5455D"/>
    <w:rsid w:val="22E9650C"/>
    <w:rsid w:val="2318643B"/>
    <w:rsid w:val="23443AFE"/>
    <w:rsid w:val="23B84E7E"/>
    <w:rsid w:val="241172E5"/>
    <w:rsid w:val="24242B92"/>
    <w:rsid w:val="244A62D2"/>
    <w:rsid w:val="247E49C4"/>
    <w:rsid w:val="24920C15"/>
    <w:rsid w:val="25373E74"/>
    <w:rsid w:val="25916979"/>
    <w:rsid w:val="25A33B2C"/>
    <w:rsid w:val="25B12B88"/>
    <w:rsid w:val="25FF1A3B"/>
    <w:rsid w:val="26391CC5"/>
    <w:rsid w:val="26D3402D"/>
    <w:rsid w:val="26D85CA8"/>
    <w:rsid w:val="26ED382A"/>
    <w:rsid w:val="27190705"/>
    <w:rsid w:val="278171FE"/>
    <w:rsid w:val="27B23302"/>
    <w:rsid w:val="27DA15AB"/>
    <w:rsid w:val="27E93782"/>
    <w:rsid w:val="27FF7BCA"/>
    <w:rsid w:val="28245882"/>
    <w:rsid w:val="282810AC"/>
    <w:rsid w:val="283A6824"/>
    <w:rsid w:val="28B47D6E"/>
    <w:rsid w:val="28BE227B"/>
    <w:rsid w:val="28CD624F"/>
    <w:rsid w:val="28E55011"/>
    <w:rsid w:val="290C4C94"/>
    <w:rsid w:val="294B78C4"/>
    <w:rsid w:val="294D1164"/>
    <w:rsid w:val="29B175E9"/>
    <w:rsid w:val="29C53E12"/>
    <w:rsid w:val="29C64297"/>
    <w:rsid w:val="29CA3557"/>
    <w:rsid w:val="29E67293"/>
    <w:rsid w:val="29EC635A"/>
    <w:rsid w:val="2A051061"/>
    <w:rsid w:val="2A071A3F"/>
    <w:rsid w:val="2A0979D4"/>
    <w:rsid w:val="2A293624"/>
    <w:rsid w:val="2A384E2D"/>
    <w:rsid w:val="2A5C7555"/>
    <w:rsid w:val="2A854E4E"/>
    <w:rsid w:val="2A992557"/>
    <w:rsid w:val="2AFC3046"/>
    <w:rsid w:val="2B5173CC"/>
    <w:rsid w:val="2B9C1DAB"/>
    <w:rsid w:val="2BC96E6C"/>
    <w:rsid w:val="2BDF153F"/>
    <w:rsid w:val="2C1B2779"/>
    <w:rsid w:val="2C7236A7"/>
    <w:rsid w:val="2CF37C43"/>
    <w:rsid w:val="2D9C04A0"/>
    <w:rsid w:val="2DAA6DF1"/>
    <w:rsid w:val="2DE955A4"/>
    <w:rsid w:val="2E095D2A"/>
    <w:rsid w:val="2E6A678A"/>
    <w:rsid w:val="2E9726D1"/>
    <w:rsid w:val="2EC52653"/>
    <w:rsid w:val="2ED27608"/>
    <w:rsid w:val="2ED846BA"/>
    <w:rsid w:val="2EE223A6"/>
    <w:rsid w:val="2F162412"/>
    <w:rsid w:val="2F1D713C"/>
    <w:rsid w:val="2F2D79E6"/>
    <w:rsid w:val="2F3E36CD"/>
    <w:rsid w:val="2FB06042"/>
    <w:rsid w:val="2FD76D3A"/>
    <w:rsid w:val="2FDD4E74"/>
    <w:rsid w:val="2FE23DB6"/>
    <w:rsid w:val="2FEA3FD3"/>
    <w:rsid w:val="30316D8E"/>
    <w:rsid w:val="30754575"/>
    <w:rsid w:val="30772AA8"/>
    <w:rsid w:val="307C42CD"/>
    <w:rsid w:val="308B666C"/>
    <w:rsid w:val="31391F76"/>
    <w:rsid w:val="315E3745"/>
    <w:rsid w:val="3199108F"/>
    <w:rsid w:val="31996791"/>
    <w:rsid w:val="31B77767"/>
    <w:rsid w:val="3202573E"/>
    <w:rsid w:val="321E598A"/>
    <w:rsid w:val="32400F39"/>
    <w:rsid w:val="326131B7"/>
    <w:rsid w:val="32A45F3D"/>
    <w:rsid w:val="32B8397E"/>
    <w:rsid w:val="32BE6597"/>
    <w:rsid w:val="32BF68D3"/>
    <w:rsid w:val="332457A0"/>
    <w:rsid w:val="33296443"/>
    <w:rsid w:val="33473CD1"/>
    <w:rsid w:val="33585ADC"/>
    <w:rsid w:val="335D0B51"/>
    <w:rsid w:val="338F274A"/>
    <w:rsid w:val="338F6DF9"/>
    <w:rsid w:val="33CB5A20"/>
    <w:rsid w:val="33DA14EB"/>
    <w:rsid w:val="33EF2119"/>
    <w:rsid w:val="340643D8"/>
    <w:rsid w:val="341C1585"/>
    <w:rsid w:val="342D6073"/>
    <w:rsid w:val="343D2BD0"/>
    <w:rsid w:val="347B1953"/>
    <w:rsid w:val="34C84AA5"/>
    <w:rsid w:val="34F34899"/>
    <w:rsid w:val="350B00B0"/>
    <w:rsid w:val="35400836"/>
    <w:rsid w:val="355A28E3"/>
    <w:rsid w:val="35957DBF"/>
    <w:rsid w:val="35C60043"/>
    <w:rsid w:val="364B64D0"/>
    <w:rsid w:val="369D1D15"/>
    <w:rsid w:val="372E2279"/>
    <w:rsid w:val="3763266A"/>
    <w:rsid w:val="377F2AD5"/>
    <w:rsid w:val="378005DF"/>
    <w:rsid w:val="37807556"/>
    <w:rsid w:val="37865C12"/>
    <w:rsid w:val="378B76CC"/>
    <w:rsid w:val="380F20AB"/>
    <w:rsid w:val="381B4E2C"/>
    <w:rsid w:val="38743CBC"/>
    <w:rsid w:val="38B7004D"/>
    <w:rsid w:val="394E0F0B"/>
    <w:rsid w:val="39734DC7"/>
    <w:rsid w:val="39CA1B5F"/>
    <w:rsid w:val="39E62997"/>
    <w:rsid w:val="3A6F0BDF"/>
    <w:rsid w:val="3ABD42CF"/>
    <w:rsid w:val="3AD917A8"/>
    <w:rsid w:val="3AFA0DF0"/>
    <w:rsid w:val="3B491430"/>
    <w:rsid w:val="3C157564"/>
    <w:rsid w:val="3C1A6A10"/>
    <w:rsid w:val="3C5E53AF"/>
    <w:rsid w:val="3CC23BB8"/>
    <w:rsid w:val="3D2C1009"/>
    <w:rsid w:val="3D69163A"/>
    <w:rsid w:val="3DAE3FAB"/>
    <w:rsid w:val="3E126451"/>
    <w:rsid w:val="3EC33EB4"/>
    <w:rsid w:val="3ECD2378"/>
    <w:rsid w:val="3EDF3E59"/>
    <w:rsid w:val="3F26326A"/>
    <w:rsid w:val="3F5A47A3"/>
    <w:rsid w:val="3FA83925"/>
    <w:rsid w:val="3FAE21A9"/>
    <w:rsid w:val="3FC526EC"/>
    <w:rsid w:val="3FFBBCD7"/>
    <w:rsid w:val="401264D2"/>
    <w:rsid w:val="4037219F"/>
    <w:rsid w:val="4050500F"/>
    <w:rsid w:val="409E3FCC"/>
    <w:rsid w:val="40A0244B"/>
    <w:rsid w:val="40A157C8"/>
    <w:rsid w:val="40B41CD7"/>
    <w:rsid w:val="410302D3"/>
    <w:rsid w:val="411E020D"/>
    <w:rsid w:val="41375CE9"/>
    <w:rsid w:val="413F7D94"/>
    <w:rsid w:val="41611430"/>
    <w:rsid w:val="417F1963"/>
    <w:rsid w:val="418A03CD"/>
    <w:rsid w:val="418C2076"/>
    <w:rsid w:val="419E6B8B"/>
    <w:rsid w:val="41C837F8"/>
    <w:rsid w:val="41D71232"/>
    <w:rsid w:val="41DC40F9"/>
    <w:rsid w:val="41E6377E"/>
    <w:rsid w:val="41E86CB7"/>
    <w:rsid w:val="41F145CF"/>
    <w:rsid w:val="41F540C0"/>
    <w:rsid w:val="42034689"/>
    <w:rsid w:val="421F1BC4"/>
    <w:rsid w:val="423A60B6"/>
    <w:rsid w:val="429733C9"/>
    <w:rsid w:val="42A9416B"/>
    <w:rsid w:val="42C0585B"/>
    <w:rsid w:val="43372AFC"/>
    <w:rsid w:val="433E55F2"/>
    <w:rsid w:val="439F0CCC"/>
    <w:rsid w:val="43CA6C2D"/>
    <w:rsid w:val="43F96575"/>
    <w:rsid w:val="44354C47"/>
    <w:rsid w:val="443B7D84"/>
    <w:rsid w:val="445B0426"/>
    <w:rsid w:val="4498648E"/>
    <w:rsid w:val="44A3273E"/>
    <w:rsid w:val="452B044C"/>
    <w:rsid w:val="45326256"/>
    <w:rsid w:val="4558066E"/>
    <w:rsid w:val="45732CFA"/>
    <w:rsid w:val="45E419EA"/>
    <w:rsid w:val="46072E3B"/>
    <w:rsid w:val="46615FDF"/>
    <w:rsid w:val="466E2692"/>
    <w:rsid w:val="46963997"/>
    <w:rsid w:val="46B53E1D"/>
    <w:rsid w:val="46D66C62"/>
    <w:rsid w:val="4719778B"/>
    <w:rsid w:val="47610213"/>
    <w:rsid w:val="478563C6"/>
    <w:rsid w:val="479E3FCC"/>
    <w:rsid w:val="47B9793D"/>
    <w:rsid w:val="47E777B4"/>
    <w:rsid w:val="48427933"/>
    <w:rsid w:val="487D4B1F"/>
    <w:rsid w:val="48913BAB"/>
    <w:rsid w:val="4893107F"/>
    <w:rsid w:val="489F2FD7"/>
    <w:rsid w:val="49415E3C"/>
    <w:rsid w:val="495526C4"/>
    <w:rsid w:val="49D5505A"/>
    <w:rsid w:val="4A34487F"/>
    <w:rsid w:val="4A884BA4"/>
    <w:rsid w:val="4A896EAD"/>
    <w:rsid w:val="4AD54A8E"/>
    <w:rsid w:val="4AF76736"/>
    <w:rsid w:val="4B2508D7"/>
    <w:rsid w:val="4B83273C"/>
    <w:rsid w:val="4BBB1F6A"/>
    <w:rsid w:val="4BC0573E"/>
    <w:rsid w:val="4C334692"/>
    <w:rsid w:val="4C352B58"/>
    <w:rsid w:val="4C547C35"/>
    <w:rsid w:val="4DB65FDF"/>
    <w:rsid w:val="4E074DBB"/>
    <w:rsid w:val="4E157897"/>
    <w:rsid w:val="4E2B69F6"/>
    <w:rsid w:val="4E3B9213"/>
    <w:rsid w:val="4E3D0273"/>
    <w:rsid w:val="4E726A98"/>
    <w:rsid w:val="4E8654B1"/>
    <w:rsid w:val="4EE51018"/>
    <w:rsid w:val="4F330442"/>
    <w:rsid w:val="4F5E48FD"/>
    <w:rsid w:val="4FD75668"/>
    <w:rsid w:val="4FEE7BE1"/>
    <w:rsid w:val="4FF437C2"/>
    <w:rsid w:val="50361275"/>
    <w:rsid w:val="50395ABF"/>
    <w:rsid w:val="504D574C"/>
    <w:rsid w:val="505E6CCB"/>
    <w:rsid w:val="50966A6E"/>
    <w:rsid w:val="50A8054F"/>
    <w:rsid w:val="50C13934"/>
    <w:rsid w:val="50CC1ADA"/>
    <w:rsid w:val="50E535F8"/>
    <w:rsid w:val="51277DA0"/>
    <w:rsid w:val="512E1E31"/>
    <w:rsid w:val="515271C6"/>
    <w:rsid w:val="51B80C66"/>
    <w:rsid w:val="51E002EF"/>
    <w:rsid w:val="525941F7"/>
    <w:rsid w:val="527177E7"/>
    <w:rsid w:val="52820304"/>
    <w:rsid w:val="52BA1362"/>
    <w:rsid w:val="52E00474"/>
    <w:rsid w:val="5350510B"/>
    <w:rsid w:val="53B52B8D"/>
    <w:rsid w:val="53B863AD"/>
    <w:rsid w:val="53C93DAA"/>
    <w:rsid w:val="53CC5926"/>
    <w:rsid w:val="53D45FF0"/>
    <w:rsid w:val="54250B5B"/>
    <w:rsid w:val="543C16DA"/>
    <w:rsid w:val="543C5932"/>
    <w:rsid w:val="54A13C33"/>
    <w:rsid w:val="54D538DD"/>
    <w:rsid w:val="54E35280"/>
    <w:rsid w:val="54F2229E"/>
    <w:rsid w:val="552F7491"/>
    <w:rsid w:val="554B05F7"/>
    <w:rsid w:val="55AA6B17"/>
    <w:rsid w:val="55B33C1E"/>
    <w:rsid w:val="560D5329"/>
    <w:rsid w:val="56231C2A"/>
    <w:rsid w:val="562907C2"/>
    <w:rsid w:val="56801434"/>
    <w:rsid w:val="568E0290"/>
    <w:rsid w:val="569E0C10"/>
    <w:rsid w:val="57070BB8"/>
    <w:rsid w:val="573E600B"/>
    <w:rsid w:val="57774708"/>
    <w:rsid w:val="577C44E3"/>
    <w:rsid w:val="57BC3A1E"/>
    <w:rsid w:val="581F1A3E"/>
    <w:rsid w:val="5827444F"/>
    <w:rsid w:val="58621B57"/>
    <w:rsid w:val="58B060AF"/>
    <w:rsid w:val="59835FFD"/>
    <w:rsid w:val="59E16DBD"/>
    <w:rsid w:val="5AAB580B"/>
    <w:rsid w:val="5AAC63DA"/>
    <w:rsid w:val="5B561D2C"/>
    <w:rsid w:val="5B803811"/>
    <w:rsid w:val="5B8B6A5E"/>
    <w:rsid w:val="5BB43102"/>
    <w:rsid w:val="5BE7486E"/>
    <w:rsid w:val="5C714F35"/>
    <w:rsid w:val="5CC60899"/>
    <w:rsid w:val="5CF406D5"/>
    <w:rsid w:val="5D3B4BC1"/>
    <w:rsid w:val="5D461594"/>
    <w:rsid w:val="5D57724C"/>
    <w:rsid w:val="5DB545BE"/>
    <w:rsid w:val="5DE05A09"/>
    <w:rsid w:val="5DEF2C89"/>
    <w:rsid w:val="5E31427A"/>
    <w:rsid w:val="5E394601"/>
    <w:rsid w:val="5E59773F"/>
    <w:rsid w:val="5E93649F"/>
    <w:rsid w:val="5EBD78BB"/>
    <w:rsid w:val="5ED71199"/>
    <w:rsid w:val="5EF64B7B"/>
    <w:rsid w:val="5F053010"/>
    <w:rsid w:val="5F362885"/>
    <w:rsid w:val="5F4104EC"/>
    <w:rsid w:val="5F4E3994"/>
    <w:rsid w:val="5F5A56F4"/>
    <w:rsid w:val="5F60054F"/>
    <w:rsid w:val="5F6F2789"/>
    <w:rsid w:val="5F9D1B89"/>
    <w:rsid w:val="5FB069E6"/>
    <w:rsid w:val="5FF76DFD"/>
    <w:rsid w:val="60CC028A"/>
    <w:rsid w:val="60DB7AD5"/>
    <w:rsid w:val="61163E9E"/>
    <w:rsid w:val="616B7AA3"/>
    <w:rsid w:val="619D0E67"/>
    <w:rsid w:val="619F7ED4"/>
    <w:rsid w:val="61C80A51"/>
    <w:rsid w:val="61E27557"/>
    <w:rsid w:val="61F72B9F"/>
    <w:rsid w:val="61FF0E6B"/>
    <w:rsid w:val="62513558"/>
    <w:rsid w:val="62A2175A"/>
    <w:rsid w:val="62B872C6"/>
    <w:rsid w:val="62E67C6F"/>
    <w:rsid w:val="62ED1F5A"/>
    <w:rsid w:val="62FC7BA0"/>
    <w:rsid w:val="634C2912"/>
    <w:rsid w:val="637A7A8F"/>
    <w:rsid w:val="63DA0894"/>
    <w:rsid w:val="63FF3C77"/>
    <w:rsid w:val="64561F28"/>
    <w:rsid w:val="647D1DE9"/>
    <w:rsid w:val="647D6468"/>
    <w:rsid w:val="64917820"/>
    <w:rsid w:val="64DF67F8"/>
    <w:rsid w:val="650C6EA7"/>
    <w:rsid w:val="65456D5F"/>
    <w:rsid w:val="655653DF"/>
    <w:rsid w:val="6586150E"/>
    <w:rsid w:val="65BC08CD"/>
    <w:rsid w:val="65C9657C"/>
    <w:rsid w:val="65DF6369"/>
    <w:rsid w:val="669400A1"/>
    <w:rsid w:val="66A15D14"/>
    <w:rsid w:val="66BC7AAB"/>
    <w:rsid w:val="66CD0B65"/>
    <w:rsid w:val="66DB08D9"/>
    <w:rsid w:val="67087B42"/>
    <w:rsid w:val="67633BB6"/>
    <w:rsid w:val="676467B1"/>
    <w:rsid w:val="679F16D2"/>
    <w:rsid w:val="67CD76D7"/>
    <w:rsid w:val="67DA7730"/>
    <w:rsid w:val="680E73DA"/>
    <w:rsid w:val="68412499"/>
    <w:rsid w:val="68444BA9"/>
    <w:rsid w:val="68AA0EB0"/>
    <w:rsid w:val="68B640DC"/>
    <w:rsid w:val="6943107A"/>
    <w:rsid w:val="69487E6C"/>
    <w:rsid w:val="696238AB"/>
    <w:rsid w:val="69976306"/>
    <w:rsid w:val="69A439B4"/>
    <w:rsid w:val="69E44931"/>
    <w:rsid w:val="6A08019A"/>
    <w:rsid w:val="6A1D3904"/>
    <w:rsid w:val="6A3B3118"/>
    <w:rsid w:val="6A484D9B"/>
    <w:rsid w:val="6AA9176C"/>
    <w:rsid w:val="6AC0486D"/>
    <w:rsid w:val="6AE54422"/>
    <w:rsid w:val="6B0845B4"/>
    <w:rsid w:val="6B4F50B0"/>
    <w:rsid w:val="6B57522D"/>
    <w:rsid w:val="6B7F0E82"/>
    <w:rsid w:val="6B9145AA"/>
    <w:rsid w:val="6BD04C6F"/>
    <w:rsid w:val="6BE96194"/>
    <w:rsid w:val="6C4A0D29"/>
    <w:rsid w:val="6C524C1A"/>
    <w:rsid w:val="6C733CAF"/>
    <w:rsid w:val="6C7B65DA"/>
    <w:rsid w:val="6CDA5ADC"/>
    <w:rsid w:val="6D1A60E6"/>
    <w:rsid w:val="6D1E1E6D"/>
    <w:rsid w:val="6D457759"/>
    <w:rsid w:val="6D936D70"/>
    <w:rsid w:val="6DBA0435"/>
    <w:rsid w:val="6DDB0BD0"/>
    <w:rsid w:val="6E1B2A6C"/>
    <w:rsid w:val="6E5E498C"/>
    <w:rsid w:val="6E83765F"/>
    <w:rsid w:val="6EB27814"/>
    <w:rsid w:val="6ED626A8"/>
    <w:rsid w:val="6EFC7F8C"/>
    <w:rsid w:val="6F280D81"/>
    <w:rsid w:val="6F6F7D2B"/>
    <w:rsid w:val="7035376A"/>
    <w:rsid w:val="704849A9"/>
    <w:rsid w:val="704E2A69"/>
    <w:rsid w:val="70AB42AF"/>
    <w:rsid w:val="70B44AD3"/>
    <w:rsid w:val="70D207DA"/>
    <w:rsid w:val="70F76C5D"/>
    <w:rsid w:val="70FA3A9E"/>
    <w:rsid w:val="71C65372"/>
    <w:rsid w:val="71E74F23"/>
    <w:rsid w:val="71EE45BB"/>
    <w:rsid w:val="722E15A6"/>
    <w:rsid w:val="727C0F06"/>
    <w:rsid w:val="728C1627"/>
    <w:rsid w:val="729D4772"/>
    <w:rsid w:val="72C139C6"/>
    <w:rsid w:val="7343340A"/>
    <w:rsid w:val="73A3131E"/>
    <w:rsid w:val="73AF381F"/>
    <w:rsid w:val="73DA4614"/>
    <w:rsid w:val="7474171E"/>
    <w:rsid w:val="74811532"/>
    <w:rsid w:val="74854DEB"/>
    <w:rsid w:val="74C66496"/>
    <w:rsid w:val="75417804"/>
    <w:rsid w:val="75CD4430"/>
    <w:rsid w:val="75DC99D7"/>
    <w:rsid w:val="75E579CC"/>
    <w:rsid w:val="7610720C"/>
    <w:rsid w:val="761E50BF"/>
    <w:rsid w:val="761F2ADC"/>
    <w:rsid w:val="76510376"/>
    <w:rsid w:val="76571B67"/>
    <w:rsid w:val="76962A74"/>
    <w:rsid w:val="76B7369D"/>
    <w:rsid w:val="76D0026B"/>
    <w:rsid w:val="7760228F"/>
    <w:rsid w:val="7771703D"/>
    <w:rsid w:val="77F79321"/>
    <w:rsid w:val="77F93ADB"/>
    <w:rsid w:val="780D6D66"/>
    <w:rsid w:val="782917F4"/>
    <w:rsid w:val="78F63C9E"/>
    <w:rsid w:val="790101DD"/>
    <w:rsid w:val="7946599E"/>
    <w:rsid w:val="7A252A8D"/>
    <w:rsid w:val="7A49618B"/>
    <w:rsid w:val="7A5E47AA"/>
    <w:rsid w:val="7A9912E5"/>
    <w:rsid w:val="7BA56A97"/>
    <w:rsid w:val="7BBF481B"/>
    <w:rsid w:val="7BC146D1"/>
    <w:rsid w:val="7BCE2CB0"/>
    <w:rsid w:val="7BE56715"/>
    <w:rsid w:val="7BF81ADB"/>
    <w:rsid w:val="7C24518C"/>
    <w:rsid w:val="7C2E507C"/>
    <w:rsid w:val="7C713E1E"/>
    <w:rsid w:val="7C8C2AEA"/>
    <w:rsid w:val="7CAD4FBB"/>
    <w:rsid w:val="7CE02C9B"/>
    <w:rsid w:val="7CE158DC"/>
    <w:rsid w:val="7D221406"/>
    <w:rsid w:val="7D5022CB"/>
    <w:rsid w:val="7D5438A4"/>
    <w:rsid w:val="7DB859C6"/>
    <w:rsid w:val="7DDA593C"/>
    <w:rsid w:val="7E192908"/>
    <w:rsid w:val="7EAD7542"/>
    <w:rsid w:val="7F3D3EAE"/>
    <w:rsid w:val="7F446F84"/>
    <w:rsid w:val="7F587B64"/>
    <w:rsid w:val="7F604567"/>
    <w:rsid w:val="7F791185"/>
    <w:rsid w:val="7F7B3D82"/>
    <w:rsid w:val="7FBAE1DB"/>
    <w:rsid w:val="7FE377DD"/>
    <w:rsid w:val="9B6F6034"/>
    <w:rsid w:val="BBBF7779"/>
    <w:rsid w:val="BFE62AB7"/>
    <w:rsid w:val="F5FF274B"/>
    <w:rsid w:val="FEFBD8B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1"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qFormat/>
    <w:uiPriority w:val="1"/>
    <w:pPr>
      <w:jc w:val="center"/>
      <w:outlineLvl w:val="1"/>
    </w:pPr>
    <w:rPr>
      <w:rFonts w:ascii="黑体" w:hAnsi="黑体" w:cs="黑体"/>
      <w:b/>
      <w:bCs/>
      <w:szCs w:val="32"/>
    </w:rPr>
  </w:style>
  <w:style w:type="paragraph" w:styleId="4">
    <w:name w:val="heading 3"/>
    <w:basedOn w:val="1"/>
    <w:next w:val="1"/>
    <w:qFormat/>
    <w:uiPriority w:val="0"/>
    <w:pPr>
      <w:widowControl/>
      <w:spacing w:after="160" w:line="240" w:lineRule="exact"/>
      <w:jc w:val="left"/>
      <w:outlineLvl w:val="2"/>
    </w:pPr>
    <w:rPr>
      <w:rFonts w:ascii="Verdana" w:hAnsi="Verdana"/>
      <w:kern w:val="0"/>
      <w:szCs w:val="20"/>
      <w:lang w:eastAsia="en-US"/>
    </w:rPr>
  </w:style>
  <w:style w:type="character" w:default="1" w:styleId="29">
    <w:name w:val="Default Paragraph Font"/>
    <w:semiHidden/>
    <w:unhideWhenUsed/>
    <w:qFormat/>
    <w:uiPriority w:val="1"/>
  </w:style>
  <w:style w:type="table" w:default="1" w:styleId="27">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spacing w:line="500" w:lineRule="exact"/>
      <w:ind w:right="8" w:rightChars="8" w:firstLine="640"/>
    </w:pPr>
    <w:rPr>
      <w:rFonts w:ascii="楷体_GB2312" w:hAnsi="Calibri" w:eastAsia="楷体_GB2312"/>
      <w:szCs w:val="32"/>
    </w:rPr>
  </w:style>
  <w:style w:type="paragraph" w:styleId="6">
    <w:name w:val="annotation text"/>
    <w:basedOn w:val="1"/>
    <w:link w:val="59"/>
    <w:qFormat/>
    <w:uiPriority w:val="0"/>
    <w:pPr>
      <w:jc w:val="left"/>
    </w:pPr>
  </w:style>
  <w:style w:type="paragraph" w:styleId="7">
    <w:name w:val="Body Text"/>
    <w:basedOn w:val="1"/>
    <w:qFormat/>
    <w:uiPriority w:val="0"/>
    <w:pPr>
      <w:spacing w:after="120"/>
    </w:pPr>
  </w:style>
  <w:style w:type="paragraph" w:styleId="8">
    <w:name w:val="Body Text Indent"/>
    <w:basedOn w:val="1"/>
    <w:qFormat/>
    <w:uiPriority w:val="0"/>
    <w:pPr>
      <w:spacing w:after="120"/>
      <w:ind w:left="420" w:leftChars="200"/>
    </w:pPr>
  </w:style>
  <w:style w:type="paragraph" w:styleId="9">
    <w:name w:val="Plain Text"/>
    <w:basedOn w:val="1"/>
    <w:next w:val="10"/>
    <w:qFormat/>
    <w:uiPriority w:val="0"/>
    <w:pPr>
      <w:widowControl/>
      <w:ind w:left="1800" w:hanging="360"/>
      <w:jc w:val="left"/>
    </w:pPr>
    <w:rPr>
      <w:rFonts w:ascii="宋体" w:hAnsi="Courier New"/>
      <w:kern w:val="0"/>
      <w:sz w:val="24"/>
    </w:rPr>
  </w:style>
  <w:style w:type="paragraph" w:customStyle="1" w:styleId="10">
    <w:name w:val="Default"/>
    <w:basedOn w:val="11"/>
    <w:qFormat/>
    <w:uiPriority w:val="0"/>
    <w:pPr>
      <w:autoSpaceDE w:val="0"/>
      <w:autoSpaceDN w:val="0"/>
    </w:pPr>
    <w:rPr>
      <w:rFonts w:ascii="Times New Roman" w:hAnsi="Times New Roman"/>
      <w:color w:val="000000"/>
      <w:sz w:val="24"/>
    </w:rPr>
  </w:style>
  <w:style w:type="paragraph" w:customStyle="1" w:styleId="11">
    <w:name w:val="纯文本1"/>
    <w:basedOn w:val="1"/>
    <w:qFormat/>
    <w:uiPriority w:val="0"/>
    <w:pPr>
      <w:adjustRightInd w:val="0"/>
      <w:textAlignment w:val="baseline"/>
    </w:pPr>
    <w:rPr>
      <w:rFonts w:ascii="宋体" w:hAnsi="Courier New" w:eastAsia="宋体" w:cs="Times New Roman"/>
    </w:rPr>
  </w:style>
  <w:style w:type="paragraph" w:styleId="12">
    <w:name w:val="Date"/>
    <w:basedOn w:val="1"/>
    <w:next w:val="1"/>
    <w:qFormat/>
    <w:uiPriority w:val="0"/>
    <w:pPr>
      <w:autoSpaceDE w:val="0"/>
      <w:autoSpaceDN w:val="0"/>
      <w:adjustRightInd w:val="0"/>
    </w:pPr>
    <w:rPr>
      <w:rFonts w:ascii="宋体"/>
      <w:kern w:val="0"/>
      <w:sz w:val="28"/>
    </w:rPr>
  </w:style>
  <w:style w:type="paragraph" w:styleId="13">
    <w:name w:val="Balloon Text"/>
    <w:basedOn w:val="1"/>
    <w:link w:val="37"/>
    <w:qFormat/>
    <w:uiPriority w:val="0"/>
    <w:rPr>
      <w:sz w:val="18"/>
      <w:szCs w:val="18"/>
    </w:rPr>
  </w:style>
  <w:style w:type="paragraph" w:styleId="14">
    <w:name w:val="footer"/>
    <w:basedOn w:val="1"/>
    <w:qFormat/>
    <w:uiPriority w:val="99"/>
    <w:pPr>
      <w:tabs>
        <w:tab w:val="center" w:pos="4153"/>
        <w:tab w:val="right" w:pos="8306"/>
      </w:tabs>
      <w:snapToGrid w:val="0"/>
      <w:spacing w:line="400" w:lineRule="exact"/>
      <w:jc w:val="left"/>
    </w:pPr>
    <w:rPr>
      <w:rFonts w:ascii="Tahoma" w:hAnsi="Tahoma"/>
      <w:sz w:val="18"/>
    </w:rPr>
  </w:style>
  <w:style w:type="paragraph" w:styleId="15">
    <w:name w:val="envelope return"/>
    <w:basedOn w:val="1"/>
    <w:unhideWhenUsed/>
    <w:qFormat/>
    <w:uiPriority w:val="99"/>
    <w:pPr>
      <w:snapToGrid w:val="0"/>
    </w:pPr>
    <w:rPr>
      <w:rFonts w:ascii="Arial" w:hAnsi="Arial"/>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qFormat/>
    <w:uiPriority w:val="39"/>
  </w:style>
  <w:style w:type="paragraph" w:styleId="18">
    <w:name w:val="List"/>
    <w:basedOn w:val="1"/>
    <w:next w:val="1"/>
    <w:qFormat/>
    <w:uiPriority w:val="0"/>
    <w:pPr>
      <w:adjustRightInd w:val="0"/>
      <w:spacing w:line="300" w:lineRule="auto"/>
      <w:ind w:left="420" w:hanging="420" w:firstLineChars="200"/>
      <w:textAlignment w:val="baseline"/>
    </w:pPr>
    <w:rPr>
      <w:sz w:val="24"/>
    </w:rPr>
  </w:style>
  <w:style w:type="paragraph" w:styleId="19">
    <w:name w:val="Body Text Indent 3"/>
    <w:basedOn w:val="1"/>
    <w:qFormat/>
    <w:uiPriority w:val="0"/>
    <w:pPr>
      <w:spacing w:after="120"/>
      <w:ind w:left="420" w:leftChars="200"/>
    </w:pPr>
    <w:rPr>
      <w:sz w:val="16"/>
      <w:szCs w:val="16"/>
    </w:rPr>
  </w:style>
  <w:style w:type="paragraph" w:styleId="20">
    <w:name w:val="toc 2"/>
    <w:basedOn w:val="1"/>
    <w:next w:val="1"/>
    <w:unhideWhenUsed/>
    <w:qFormat/>
    <w:uiPriority w:val="39"/>
    <w:pPr>
      <w:ind w:left="480" w:leftChars="200"/>
    </w:pPr>
    <w:rPr>
      <w:rFonts w:eastAsia="宋体"/>
    </w:rPr>
  </w:style>
  <w:style w:type="paragraph" w:styleId="21">
    <w:name w:val="Body Text 2"/>
    <w:basedOn w:val="1"/>
    <w:next w:val="7"/>
    <w:qFormat/>
    <w:uiPriority w:val="0"/>
    <w:rPr>
      <w:rFonts w:ascii="New York" w:hAnsi="Helvetica" w:eastAsia="New York"/>
    </w:rPr>
  </w:style>
  <w:style w:type="paragraph" w:styleId="22">
    <w:name w:val="Normal (Web)"/>
    <w:basedOn w:val="1"/>
    <w:qFormat/>
    <w:uiPriority w:val="0"/>
    <w:pPr>
      <w:spacing w:beforeAutospacing="1" w:afterAutospacing="1"/>
      <w:jc w:val="left"/>
    </w:pPr>
    <w:rPr>
      <w:rFonts w:cs="Times New Roman"/>
      <w:kern w:val="0"/>
      <w:sz w:val="24"/>
    </w:rPr>
  </w:style>
  <w:style w:type="paragraph" w:styleId="23">
    <w:name w:val="index 1"/>
    <w:basedOn w:val="1"/>
    <w:next w:val="1"/>
    <w:unhideWhenUsed/>
    <w:qFormat/>
    <w:uiPriority w:val="99"/>
    <w:pPr>
      <w:tabs>
        <w:tab w:val="left" w:pos="7740"/>
      </w:tabs>
      <w:jc w:val="center"/>
    </w:pPr>
    <w:rPr>
      <w:rFonts w:ascii="仿宋" w:hAnsi="仿宋" w:eastAsia="仿宋"/>
      <w:b/>
      <w:sz w:val="28"/>
      <w:szCs w:val="28"/>
    </w:rPr>
  </w:style>
  <w:style w:type="paragraph" w:styleId="24">
    <w:name w:val="annotation subject"/>
    <w:basedOn w:val="6"/>
    <w:next w:val="6"/>
    <w:link w:val="60"/>
    <w:qFormat/>
    <w:uiPriority w:val="0"/>
    <w:rPr>
      <w:b/>
      <w:bCs/>
    </w:rPr>
  </w:style>
  <w:style w:type="paragraph" w:styleId="25">
    <w:name w:val="Body Text First Indent"/>
    <w:basedOn w:val="7"/>
    <w:qFormat/>
    <w:uiPriority w:val="0"/>
    <w:pPr>
      <w:widowControl/>
      <w:adjustRightInd w:val="0"/>
      <w:snapToGrid w:val="0"/>
      <w:spacing w:before="100" w:beforeAutospacing="1"/>
      <w:ind w:firstLine="420" w:firstLineChars="100"/>
      <w:jc w:val="left"/>
    </w:pPr>
    <w:rPr>
      <w:rFonts w:ascii="Tahoma" w:hAnsi="Tahoma" w:cs="Tahoma"/>
      <w:sz w:val="22"/>
    </w:rPr>
  </w:style>
  <w:style w:type="paragraph" w:styleId="26">
    <w:name w:val="Body Text First Indent 2"/>
    <w:basedOn w:val="8"/>
    <w:next w:val="7"/>
    <w:qFormat/>
    <w:uiPriority w:val="0"/>
    <w:pPr>
      <w:spacing w:after="0"/>
      <w:ind w:firstLine="420"/>
    </w:pPr>
  </w:style>
  <w:style w:type="table" w:styleId="28">
    <w:name w:val="Table Grid"/>
    <w:basedOn w:val="27"/>
    <w:qFormat/>
    <w:uiPriority w:val="0"/>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rPr>
  </w:style>
  <w:style w:type="character" w:styleId="31">
    <w:name w:val="page number"/>
    <w:basedOn w:val="29"/>
    <w:qFormat/>
    <w:uiPriority w:val="0"/>
  </w:style>
  <w:style w:type="character" w:styleId="32">
    <w:name w:val="Emphasis"/>
    <w:basedOn w:val="29"/>
    <w:qFormat/>
    <w:uiPriority w:val="0"/>
    <w:rPr>
      <w:i/>
    </w:rPr>
  </w:style>
  <w:style w:type="character" w:styleId="33">
    <w:name w:val="Hyperlink"/>
    <w:basedOn w:val="29"/>
    <w:qFormat/>
    <w:uiPriority w:val="99"/>
    <w:rPr>
      <w:color w:val="0000FF"/>
      <w:u w:val="single"/>
    </w:rPr>
  </w:style>
  <w:style w:type="character" w:styleId="34">
    <w:name w:val="annotation reference"/>
    <w:basedOn w:val="29"/>
    <w:qFormat/>
    <w:uiPriority w:val="0"/>
    <w:rPr>
      <w:sz w:val="21"/>
      <w:szCs w:val="21"/>
    </w:rPr>
  </w:style>
  <w:style w:type="paragraph" w:customStyle="1" w:styleId="35">
    <w:name w:val="z正文"/>
    <w:basedOn w:val="1"/>
    <w:qFormat/>
    <w:uiPriority w:val="0"/>
    <w:rPr>
      <w:kern w:val="0"/>
    </w:rPr>
  </w:style>
  <w:style w:type="paragraph" w:customStyle="1" w:styleId="36">
    <w:name w:val="标书正文1"/>
    <w:basedOn w:val="1"/>
    <w:qFormat/>
    <w:uiPriority w:val="0"/>
    <w:pPr>
      <w:spacing w:line="520" w:lineRule="exact"/>
      <w:ind w:firstLine="640"/>
    </w:pPr>
  </w:style>
  <w:style w:type="character" w:customStyle="1" w:styleId="37">
    <w:name w:val="批注框文本 字符"/>
    <w:basedOn w:val="29"/>
    <w:link w:val="13"/>
    <w:qFormat/>
    <w:uiPriority w:val="0"/>
    <w:rPr>
      <w:rFonts w:asciiTheme="minorHAnsi" w:hAnsiTheme="minorHAnsi" w:eastAsiaTheme="minorEastAsia" w:cstheme="minorBidi"/>
      <w:kern w:val="2"/>
      <w:sz w:val="18"/>
      <w:szCs w:val="18"/>
    </w:rPr>
  </w:style>
  <w:style w:type="paragraph" w:customStyle="1" w:styleId="38">
    <w:name w:val="p0"/>
    <w:basedOn w:val="1"/>
    <w:qFormat/>
    <w:uiPriority w:val="0"/>
    <w:pPr>
      <w:widowControl/>
    </w:pPr>
    <w:rPr>
      <w:kern w:val="0"/>
      <w:szCs w:val="21"/>
    </w:rPr>
  </w:style>
  <w:style w:type="paragraph" w:customStyle="1" w:styleId="39">
    <w:name w:val="_Style 2"/>
    <w:basedOn w:val="1"/>
    <w:qFormat/>
    <w:uiPriority w:val="99"/>
    <w:pPr>
      <w:ind w:firstLine="420" w:firstLineChars="200"/>
    </w:pPr>
  </w:style>
  <w:style w:type="character" w:customStyle="1" w:styleId="40">
    <w:name w:val="p141_0"/>
    <w:qFormat/>
    <w:uiPriority w:val="0"/>
    <w:rPr>
      <w:rFonts w:ascii="Calibri" w:hAnsi="Calibri"/>
      <w:sz w:val="21"/>
      <w:szCs w:val="21"/>
    </w:rPr>
  </w:style>
  <w:style w:type="paragraph" w:customStyle="1" w:styleId="41">
    <w:name w:val="Body Text First Indent 21"/>
    <w:basedOn w:val="42"/>
    <w:qFormat/>
    <w:uiPriority w:val="0"/>
    <w:pPr>
      <w:ind w:firstLine="480"/>
    </w:pPr>
    <w:rPr>
      <w:rFonts w:cs="宋体"/>
    </w:rPr>
  </w:style>
  <w:style w:type="paragraph" w:customStyle="1" w:styleId="42">
    <w:name w:val="Body Text Indent1"/>
    <w:basedOn w:val="1"/>
    <w:qFormat/>
    <w:uiPriority w:val="0"/>
    <w:pPr>
      <w:spacing w:line="560" w:lineRule="exact"/>
      <w:ind w:firstLine="960" w:firstLineChars="300"/>
    </w:pPr>
  </w:style>
  <w:style w:type="paragraph" w:customStyle="1" w:styleId="43">
    <w:name w:val="列表段落1"/>
    <w:basedOn w:val="1"/>
    <w:qFormat/>
    <w:uiPriority w:val="0"/>
    <w:pPr>
      <w:ind w:firstLine="420" w:firstLineChars="200"/>
    </w:pPr>
  </w:style>
  <w:style w:type="paragraph" w:customStyle="1" w:styleId="44">
    <w:name w:val="null3"/>
    <w:hidden/>
    <w:qFormat/>
    <w:uiPriority w:val="0"/>
    <w:rPr>
      <w:rFonts w:hint="eastAsia" w:asciiTheme="minorHAnsi" w:hAnsiTheme="minorHAnsi" w:eastAsiaTheme="minorEastAsia" w:cstheme="minorBidi"/>
      <w:lang w:val="en-US" w:eastAsia="zh-Hans" w:bidi="ar-SA"/>
    </w:rPr>
  </w:style>
  <w:style w:type="paragraph" w:customStyle="1" w:styleId="45">
    <w:name w:val="图"/>
    <w:basedOn w:val="1"/>
    <w:qFormat/>
    <w:uiPriority w:val="0"/>
    <w:pPr>
      <w:keepNext/>
      <w:adjustRightInd w:val="0"/>
      <w:spacing w:before="60" w:after="60" w:line="300" w:lineRule="auto"/>
      <w:jc w:val="center"/>
      <w:textAlignment w:val="center"/>
    </w:pPr>
    <w:rPr>
      <w:snapToGrid w:val="0"/>
      <w:spacing w:val="20"/>
      <w:kern w:val="0"/>
    </w:rPr>
  </w:style>
  <w:style w:type="character" w:customStyle="1" w:styleId="46">
    <w:name w:val="font11"/>
    <w:basedOn w:val="29"/>
    <w:qFormat/>
    <w:uiPriority w:val="0"/>
    <w:rPr>
      <w:rFonts w:hint="eastAsia" w:ascii="宋体" w:hAnsi="宋体" w:eastAsia="宋体" w:cs="宋体"/>
      <w:color w:val="000000"/>
      <w:sz w:val="24"/>
      <w:szCs w:val="24"/>
      <w:u w:val="none"/>
    </w:rPr>
  </w:style>
  <w:style w:type="character" w:customStyle="1" w:styleId="47">
    <w:name w:val="font21"/>
    <w:basedOn w:val="29"/>
    <w:qFormat/>
    <w:uiPriority w:val="0"/>
    <w:rPr>
      <w:rFonts w:hint="eastAsia" w:ascii="宋体" w:hAnsi="宋体" w:eastAsia="宋体" w:cs="宋体"/>
      <w:color w:val="000000"/>
      <w:sz w:val="22"/>
      <w:szCs w:val="22"/>
      <w:u w:val="none"/>
    </w:rPr>
  </w:style>
  <w:style w:type="character" w:customStyle="1" w:styleId="48">
    <w:name w:val="font01"/>
    <w:basedOn w:val="29"/>
    <w:qFormat/>
    <w:uiPriority w:val="0"/>
    <w:rPr>
      <w:rFonts w:hint="eastAsia" w:ascii="宋体" w:hAnsi="宋体" w:eastAsia="宋体" w:cs="宋体"/>
      <w:color w:val="000000"/>
      <w:sz w:val="22"/>
      <w:szCs w:val="22"/>
      <w:u w:val="none"/>
    </w:rPr>
  </w:style>
  <w:style w:type="character" w:customStyle="1" w:styleId="49">
    <w:name w:val="hover"/>
    <w:basedOn w:val="29"/>
    <w:qFormat/>
    <w:uiPriority w:val="0"/>
    <w:rPr>
      <w:color w:val="FF7B00"/>
    </w:rPr>
  </w:style>
  <w:style w:type="character" w:customStyle="1" w:styleId="50">
    <w:name w:val="font81"/>
    <w:basedOn w:val="29"/>
    <w:qFormat/>
    <w:uiPriority w:val="0"/>
    <w:rPr>
      <w:rFonts w:hint="eastAsia" w:ascii="微软雅黑" w:hAnsi="微软雅黑" w:eastAsia="微软雅黑" w:cs="微软雅黑"/>
      <w:b/>
      <w:bCs/>
      <w:color w:val="000000"/>
      <w:sz w:val="20"/>
      <w:szCs w:val="20"/>
      <w:u w:val="none"/>
      <w:vertAlign w:val="superscript"/>
    </w:rPr>
  </w:style>
  <w:style w:type="character" w:customStyle="1" w:styleId="51">
    <w:name w:val="font91"/>
    <w:basedOn w:val="29"/>
    <w:qFormat/>
    <w:uiPriority w:val="0"/>
    <w:rPr>
      <w:rFonts w:hint="eastAsia" w:ascii="微软雅黑" w:hAnsi="微软雅黑" w:eastAsia="微软雅黑" w:cs="微软雅黑"/>
      <w:color w:val="000000"/>
      <w:sz w:val="20"/>
      <w:szCs w:val="20"/>
      <w:u w:val="none"/>
      <w:vertAlign w:val="superscript"/>
    </w:rPr>
  </w:style>
  <w:style w:type="character" w:customStyle="1" w:styleId="52">
    <w:name w:val="font41"/>
    <w:basedOn w:val="29"/>
    <w:qFormat/>
    <w:uiPriority w:val="0"/>
    <w:rPr>
      <w:rFonts w:hint="eastAsia" w:ascii="宋体" w:hAnsi="宋体" w:eastAsia="宋体" w:cs="宋体"/>
      <w:color w:val="000000"/>
      <w:sz w:val="18"/>
      <w:szCs w:val="18"/>
      <w:u w:val="none"/>
    </w:rPr>
  </w:style>
  <w:style w:type="character" w:customStyle="1" w:styleId="53">
    <w:name w:val="font51"/>
    <w:basedOn w:val="29"/>
    <w:qFormat/>
    <w:uiPriority w:val="0"/>
    <w:rPr>
      <w:rFonts w:hint="eastAsia" w:ascii="微软雅黑" w:hAnsi="微软雅黑" w:eastAsia="微软雅黑" w:cs="微软雅黑"/>
      <w:color w:val="000000"/>
      <w:sz w:val="18"/>
      <w:szCs w:val="18"/>
      <w:u w:val="none"/>
    </w:rPr>
  </w:style>
  <w:style w:type="character" w:customStyle="1" w:styleId="54">
    <w:name w:val="font101"/>
    <w:basedOn w:val="29"/>
    <w:qFormat/>
    <w:uiPriority w:val="0"/>
    <w:rPr>
      <w:rFonts w:hint="eastAsia" w:ascii="宋体" w:hAnsi="宋体" w:eastAsia="宋体" w:cs="宋体"/>
      <w:b/>
      <w:bCs/>
      <w:color w:val="DD0806"/>
      <w:sz w:val="20"/>
      <w:szCs w:val="20"/>
      <w:u w:val="none"/>
    </w:rPr>
  </w:style>
  <w:style w:type="character" w:customStyle="1" w:styleId="55">
    <w:name w:val="font71"/>
    <w:basedOn w:val="29"/>
    <w:qFormat/>
    <w:uiPriority w:val="0"/>
    <w:rPr>
      <w:rFonts w:hint="eastAsia" w:ascii="宋体" w:hAnsi="宋体" w:eastAsia="宋体" w:cs="宋体"/>
      <w:color w:val="000000"/>
      <w:sz w:val="20"/>
      <w:szCs w:val="20"/>
      <w:u w:val="none"/>
    </w:rPr>
  </w:style>
  <w:style w:type="table" w:customStyle="1" w:styleId="56">
    <w:name w:val="Table Normal"/>
    <w:semiHidden/>
    <w:unhideWhenUsed/>
    <w:qFormat/>
    <w:uiPriority w:val="0"/>
    <w:tblPr>
      <w:tblCellMar>
        <w:top w:w="0" w:type="dxa"/>
        <w:left w:w="0" w:type="dxa"/>
        <w:bottom w:w="0" w:type="dxa"/>
        <w:right w:w="0" w:type="dxa"/>
      </w:tblCellMar>
    </w:tblPr>
  </w:style>
  <w:style w:type="paragraph" w:customStyle="1" w:styleId="57">
    <w:name w:val="Level 2"/>
    <w:basedOn w:val="1"/>
    <w:next w:val="1"/>
    <w:qFormat/>
    <w:uiPriority w:val="0"/>
    <w:pPr>
      <w:numPr>
        <w:ilvl w:val="1"/>
        <w:numId w:val="1"/>
      </w:numPr>
      <w:spacing w:line="360" w:lineRule="auto"/>
      <w:outlineLvl w:val="1"/>
    </w:pPr>
    <w:rPr>
      <w:rFonts w:ascii="Arial" w:hAnsi="Arial"/>
      <w:w w:val="105"/>
      <w:kern w:val="20"/>
      <w:sz w:val="24"/>
      <w:lang w:val="en-GB" w:eastAsia="en-US"/>
    </w:rPr>
  </w:style>
  <w:style w:type="paragraph" w:customStyle="1" w:styleId="58">
    <w:name w:val="FWB_L4"/>
    <w:basedOn w:val="1"/>
    <w:qFormat/>
    <w:uiPriority w:val="0"/>
    <w:pPr>
      <w:widowControl/>
      <w:numPr>
        <w:ilvl w:val="3"/>
        <w:numId w:val="2"/>
      </w:numPr>
      <w:tabs>
        <w:tab w:val="left" w:pos="360"/>
        <w:tab w:val="clear" w:pos="1440"/>
      </w:tabs>
      <w:spacing w:after="240"/>
    </w:pPr>
    <w:rPr>
      <w:smallCaps/>
      <w:sz w:val="24"/>
      <w:lang w:val="en-GB" w:eastAsia="en-US"/>
    </w:rPr>
  </w:style>
  <w:style w:type="character" w:customStyle="1" w:styleId="59">
    <w:name w:val="批注文字 字符"/>
    <w:basedOn w:val="29"/>
    <w:link w:val="6"/>
    <w:qFormat/>
    <w:uiPriority w:val="0"/>
    <w:rPr>
      <w:rFonts w:asciiTheme="minorHAnsi" w:hAnsiTheme="minorHAnsi" w:eastAsiaTheme="minorEastAsia" w:cstheme="minorBidi"/>
      <w:kern w:val="2"/>
      <w:sz w:val="21"/>
      <w:szCs w:val="24"/>
    </w:rPr>
  </w:style>
  <w:style w:type="character" w:customStyle="1" w:styleId="60">
    <w:name w:val="批注主题 字符"/>
    <w:basedOn w:val="59"/>
    <w:link w:val="24"/>
    <w:qFormat/>
    <w:uiPriority w:val="0"/>
    <w:rPr>
      <w:rFonts w:asciiTheme="minorHAnsi" w:hAnsiTheme="minorHAnsi" w:eastAsiaTheme="minorEastAsia" w:cstheme="minorBidi"/>
      <w:b/>
      <w:bCs/>
      <w:kern w:val="2"/>
      <w:sz w:val="21"/>
      <w:szCs w:val="24"/>
    </w:rPr>
  </w:style>
  <w:style w:type="paragraph" w:customStyle="1" w:styleId="61">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62">
    <w:name w:val="未处理的提及1"/>
    <w:basedOn w:val="29"/>
    <w:semiHidden/>
    <w:unhideWhenUsed/>
    <w:qFormat/>
    <w:uiPriority w:val="99"/>
    <w:rPr>
      <w:color w:val="605E5C"/>
      <w:shd w:val="clear" w:color="auto" w:fill="E1DFDD"/>
    </w:rPr>
  </w:style>
  <w:style w:type="paragraph" w:styleId="63">
    <w:name w:val="List Paragraph"/>
    <w:basedOn w:val="1"/>
    <w:qFormat/>
    <w:uiPriority w:val="34"/>
    <w:pPr>
      <w:ind w:firstLine="420" w:firstLineChars="200"/>
    </w:pPr>
    <w:rPr>
      <w:szCs w:val="22"/>
    </w:rPr>
  </w:style>
  <w:style w:type="character" w:customStyle="1" w:styleId="64">
    <w:name w:val="Unresolved Mention"/>
    <w:basedOn w:val="29"/>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DA3CF9-0096-4661-A21E-E8D74EA6E8C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3357</Words>
  <Characters>3582</Characters>
  <Lines>32</Lines>
  <Paragraphs>9</Paragraphs>
  <TotalTime>70</TotalTime>
  <ScaleCrop>false</ScaleCrop>
  <LinksUpToDate>false</LinksUpToDate>
  <CharactersWithSpaces>3679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2025-02-15T01:20:00Z</dcterms:created>
  <dc:creator>五块钱</dc:creator>
  <cp:lastModifiedBy>Zed丶Leblanc</cp:lastModifiedBy>
  <cp:lastPrinted>2025-02-19T18:59:00Z</cp:lastPrinted>
  <dcterms:modified xsi:type="dcterms:W3CDTF">2026-02-26T08:33:37Z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88653CE875A14A87BDF547E068876110_13</vt:lpwstr>
  </property>
  <property fmtid="{D5CDD505-2E9C-101B-9397-08002B2CF9AE}" pid="4" name="KSOTemplateDocerSaveRecord">
    <vt:lpwstr>eyJoZGlkIjoiZjFmZWIzNDg2MmIzZjExOTIzMmViNTBmYTMwYTk0ZWYiLCJ1c2VySWQiOiIzMzU0NzM2MzMifQ==</vt:lpwstr>
  </property>
</Properties>
</file>