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03FA">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关于公开遴选茂名滨海新区沙尾村新型社区配套项目二期的招标代理公告</w:t>
      </w:r>
    </w:p>
    <w:p w14:paraId="6B4849C4">
      <w:pPr>
        <w:spacing w:line="600" w:lineRule="exact"/>
        <w:rPr>
          <w:rFonts w:hint="eastAsia" w:ascii="仿宋_GB2312" w:eastAsia="仿宋_GB2312"/>
          <w:sz w:val="32"/>
          <w:szCs w:val="32"/>
        </w:rPr>
      </w:pPr>
    </w:p>
    <w:p w14:paraId="18BC8BE9">
      <w:pPr>
        <w:spacing w:line="600" w:lineRule="exact"/>
        <w:rPr>
          <w:rFonts w:hint="eastAsia" w:ascii="仿宋_GB2312" w:eastAsia="仿宋_GB2312"/>
          <w:sz w:val="32"/>
          <w:szCs w:val="32"/>
        </w:rPr>
      </w:pPr>
      <w:r>
        <w:rPr>
          <w:rFonts w:hint="eastAsia" w:ascii="仿宋_GB2312" w:eastAsia="仿宋_GB2312"/>
          <w:sz w:val="32"/>
          <w:szCs w:val="32"/>
        </w:rPr>
        <w:t>各单位：</w:t>
      </w:r>
    </w:p>
    <w:p w14:paraId="194A40DD">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我司有茂名滨海新区沙尾村新型社区配套项目二期需要进行公开招标工作。为做好招标流程，现阶段公开向社会遴选该项目的招标代理单位。报名格式及要求详见附件，请各意向单位于2026年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1DCD39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1EE8D39C">
      <w:pPr>
        <w:spacing w:line="600" w:lineRule="exact"/>
        <w:ind w:firstLine="640" w:firstLineChars="200"/>
        <w:rPr>
          <w:rFonts w:hint="eastAsia" w:ascii="仿宋_GB2312" w:eastAsia="仿宋_GB2312"/>
          <w:sz w:val="32"/>
          <w:szCs w:val="32"/>
        </w:rPr>
      </w:pPr>
    </w:p>
    <w:p w14:paraId="34DF5CBB">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附件：1.茂名滨海新区沙尾村新型社区配套项目二期代理服务公开遴选报名表</w:t>
      </w:r>
    </w:p>
    <w:p w14:paraId="57CB68E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3F1674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7EDCF09A">
      <w:pPr>
        <w:spacing w:line="600" w:lineRule="exact"/>
        <w:ind w:left="1559" w:leftChars="270" w:hanging="992" w:hangingChars="310"/>
        <w:rPr>
          <w:rFonts w:hint="eastAsia" w:ascii="仿宋_GB2312" w:eastAsia="仿宋_GB2312"/>
          <w:sz w:val="32"/>
          <w:szCs w:val="32"/>
        </w:rPr>
      </w:pPr>
    </w:p>
    <w:p w14:paraId="59D0941C">
      <w:pPr>
        <w:pStyle w:val="2"/>
        <w:rPr>
          <w:rFonts w:hint="eastAsia"/>
        </w:rPr>
      </w:pPr>
    </w:p>
    <w:p w14:paraId="5B4A8441">
      <w:pPr>
        <w:spacing w:line="600" w:lineRule="exact"/>
        <w:jc w:val="right"/>
        <w:rPr>
          <w:rFonts w:hint="eastAsia" w:ascii="仿宋_GB2312" w:eastAsia="仿宋_GB2312"/>
          <w:sz w:val="32"/>
          <w:szCs w:val="32"/>
        </w:rPr>
      </w:pPr>
      <w:r>
        <w:rPr>
          <w:rFonts w:hint="eastAsia" w:ascii="仿宋_GB2312" w:eastAsia="仿宋_GB2312"/>
          <w:sz w:val="32"/>
          <w:szCs w:val="32"/>
        </w:rPr>
        <w:t>茂名滨海发展集团有限公司</w:t>
      </w:r>
    </w:p>
    <w:p w14:paraId="48EF23BA">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2026年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p w14:paraId="1CF9A358">
      <w:pPr>
        <w:widowControl/>
        <w:jc w:val="left"/>
        <w:rPr>
          <w:rFonts w:hint="eastAsia" w:ascii="仿宋_GB2312" w:eastAsia="仿宋_GB2312"/>
          <w:sz w:val="28"/>
          <w:szCs w:val="28"/>
        </w:rPr>
      </w:pPr>
    </w:p>
    <w:p w14:paraId="24E5F8B6">
      <w:pPr>
        <w:widowControl/>
        <w:jc w:val="left"/>
        <w:rPr>
          <w:rFonts w:hint="eastAsia" w:ascii="仿宋_GB2312" w:eastAsia="仿宋_GB2312"/>
          <w:sz w:val="28"/>
          <w:szCs w:val="28"/>
        </w:rPr>
      </w:pPr>
    </w:p>
    <w:p w14:paraId="05F3AB71">
      <w:pPr>
        <w:widowControl/>
        <w:jc w:val="left"/>
        <w:rPr>
          <w:rFonts w:hint="eastAsia" w:ascii="仿宋_GB2312" w:eastAsia="仿宋_GB2312"/>
          <w:sz w:val="28"/>
          <w:szCs w:val="28"/>
        </w:rPr>
      </w:pPr>
    </w:p>
    <w:p w14:paraId="14D518E6">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7"/>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1799C9F6">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374BF5AE">
            <w:pPr>
              <w:jc w:val="center"/>
              <w:rPr>
                <w:rFonts w:hint="eastAsia" w:ascii="方正小标宋简体" w:eastAsia="方正小标宋简体"/>
                <w:sz w:val="36"/>
                <w:szCs w:val="36"/>
              </w:rPr>
            </w:pPr>
            <w:r>
              <w:rPr>
                <w:rFonts w:hint="eastAsia" w:ascii="方正小标宋简体" w:eastAsia="方正小标宋简体"/>
                <w:sz w:val="32"/>
                <w:szCs w:val="32"/>
              </w:rPr>
              <w:t>茂名滨海新区沙尾村新型社区配套项目二期代理服务公开遴选报名表</w:t>
            </w:r>
          </w:p>
        </w:tc>
      </w:tr>
      <w:tr w14:paraId="6AC9323C">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0EC9607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年3月</w:t>
            </w:r>
            <w:r>
              <w:rPr>
                <w:rFonts w:hint="eastAsia" w:ascii="宋体" w:hAnsi="宋体" w:eastAsia="宋体" w:cs="宋体"/>
                <w:color w:val="000000"/>
                <w:kern w:val="0"/>
                <w:szCs w:val="21"/>
                <w:lang w:val="en-US" w:eastAsia="zh-CN"/>
              </w:rPr>
              <w:t>31</w:t>
            </w:r>
            <w:r>
              <w:rPr>
                <w:rFonts w:hint="eastAsia" w:ascii="宋体" w:hAnsi="宋体" w:eastAsia="宋体" w:cs="宋体"/>
                <w:color w:val="000000"/>
                <w:kern w:val="0"/>
                <w:szCs w:val="21"/>
              </w:rPr>
              <w:t>日</w:t>
            </w:r>
          </w:p>
        </w:tc>
      </w:tr>
      <w:tr w14:paraId="3FDEF605">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46DB0EA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1F0D50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8CA4298">
            <w:pPr>
              <w:widowControl/>
              <w:jc w:val="center"/>
              <w:rPr>
                <w:rFonts w:hint="eastAsia" w:ascii="宋体" w:hAnsi="宋体" w:eastAsia="宋体" w:cs="仿宋"/>
                <w:sz w:val="24"/>
                <w:szCs w:val="24"/>
              </w:rPr>
            </w:pPr>
            <w:r>
              <w:rPr>
                <w:rFonts w:hint="eastAsia" w:ascii="宋体" w:hAnsi="宋体" w:eastAsia="宋体" w:cs="仿宋"/>
                <w:sz w:val="24"/>
                <w:szCs w:val="24"/>
              </w:rPr>
              <w:t>茂名滨海新区沙尾村新型社区配套项目二期</w:t>
            </w:r>
            <w:bookmarkStart w:id="0" w:name="_GoBack"/>
            <w:bookmarkEnd w:id="0"/>
          </w:p>
        </w:tc>
      </w:tr>
      <w:tr w14:paraId="66FE265E">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2BED930">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120BB80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基本情况</w:t>
            </w:r>
          </w:p>
        </w:tc>
        <w:tc>
          <w:tcPr>
            <w:tcW w:w="6713" w:type="dxa"/>
            <w:gridSpan w:val="4"/>
            <w:tcBorders>
              <w:top w:val="single" w:color="auto" w:sz="4" w:space="0"/>
              <w:left w:val="nil"/>
              <w:bottom w:val="single" w:color="auto" w:sz="4" w:space="0"/>
              <w:right w:val="single" w:color="auto" w:sz="4" w:space="0"/>
            </w:tcBorders>
            <w:vAlign w:val="center"/>
          </w:tcPr>
          <w:p w14:paraId="0D867397">
            <w:pPr>
              <w:widowControl/>
              <w:rPr>
                <w:rFonts w:hint="eastAsia" w:ascii="宋体" w:hAnsi="宋体" w:eastAsia="宋体" w:cs="仿宋"/>
                <w:sz w:val="24"/>
                <w:szCs w:val="24"/>
                <w:lang w:val="en-US" w:eastAsia="zh-CN"/>
              </w:rPr>
            </w:pPr>
            <w:r>
              <w:rPr>
                <w:rFonts w:hint="eastAsia" w:ascii="宋体" w:hAnsi="宋体" w:eastAsia="宋体" w:cs="仿宋"/>
                <w:sz w:val="24"/>
                <w:szCs w:val="24"/>
              </w:rPr>
              <w:t>我司有茂名滨海新区沙尾村新型社区配套项目二期需要进行公开招标工作。现阶段公开向社会遴选该项目的招标代理单位。本项目的代理服务费报价形式以下浮率方式报价，实际产生代理服务费由项目实际中标单位支付，支付的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r>
              <w:rPr>
                <w:rFonts w:hint="eastAsia" w:ascii="宋体" w:hAnsi="宋体" w:eastAsia="宋体" w:cs="仿宋"/>
                <w:b/>
                <w:bCs/>
                <w:sz w:val="24"/>
                <w:szCs w:val="24"/>
                <w:lang w:eastAsia="zh-CN"/>
              </w:rPr>
              <w:t>。</w:t>
            </w:r>
          </w:p>
        </w:tc>
      </w:tr>
      <w:tr w14:paraId="57186EAB">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4F90C800">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27C9EA4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项目概况</w:t>
            </w:r>
          </w:p>
        </w:tc>
        <w:tc>
          <w:tcPr>
            <w:tcW w:w="6713" w:type="dxa"/>
            <w:gridSpan w:val="4"/>
            <w:tcBorders>
              <w:top w:val="single" w:color="auto" w:sz="4" w:space="0"/>
              <w:left w:val="nil"/>
              <w:bottom w:val="single" w:color="auto" w:sz="4" w:space="0"/>
              <w:right w:val="single" w:color="auto" w:sz="4" w:space="0"/>
            </w:tcBorders>
            <w:vAlign w:val="center"/>
          </w:tcPr>
          <w:p w14:paraId="0785167E">
            <w:pPr>
              <w:rPr>
                <w:rFonts w:hint="default"/>
                <w:lang w:val="en-US" w:eastAsia="zh-CN"/>
              </w:rPr>
            </w:pPr>
            <w:r>
              <w:rPr>
                <w:rFonts w:hint="eastAsia" w:ascii="宋体" w:hAnsi="宋体" w:eastAsia="宋体" w:cs="仿宋"/>
                <w:sz w:val="24"/>
                <w:szCs w:val="24"/>
                <w:lang w:val="en-US" w:eastAsia="zh-CN"/>
              </w:rPr>
              <w:t>项目总投资约2.88亿元，拟通过公开招标方式引入社会资本方（乙方）成立合资公司。合资公司注册资本10000万元，甲方以评估价值为14029.02万元的土地使用权作价出资7000万元（占股70%），剩余7029.02万元作为合资公司对甲方的融资借款债务，具体还款计划另行按借款合同履行；乙方以现金出资3000万元（占股30%），出资款专项用于项目建设、运营，不得挪作他用。剩余项目资金11739.14万元由甲乙双方以项目公司名义共同通过申请专项资金及融资等方式取得，作为项目公司融资债务，按股权比例共同承担。项目公司以其自身资产或收益权提供质押或抵押，若金融机构要求股东提供担保，双方同意按70%：30%比例提供连带责任保证担保，并另行签署担保协议。</w:t>
            </w:r>
          </w:p>
        </w:tc>
      </w:tr>
      <w:tr w14:paraId="301EF8FF">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21F30BBA">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32EE1A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084F6D32">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446D8451">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招标</w:t>
            </w:r>
            <w:r>
              <w:rPr>
                <w:rFonts w:ascii="宋体" w:hAnsi="宋体" w:eastAsia="宋体" w:cs="仿宋"/>
                <w:sz w:val="24"/>
                <w:szCs w:val="24"/>
              </w:rPr>
              <w:t>文件，</w:t>
            </w:r>
            <w:r>
              <w:rPr>
                <w:rFonts w:hint="eastAsia" w:ascii="宋体" w:hAnsi="宋体" w:eastAsia="宋体" w:cs="仿宋"/>
                <w:sz w:val="24"/>
                <w:szCs w:val="24"/>
              </w:rPr>
              <w:t>把控招标</w:t>
            </w:r>
            <w:r>
              <w:rPr>
                <w:rFonts w:ascii="宋体" w:hAnsi="宋体" w:eastAsia="宋体" w:cs="仿宋"/>
                <w:sz w:val="24"/>
                <w:szCs w:val="24"/>
              </w:rPr>
              <w:t>文件质量；</w:t>
            </w:r>
          </w:p>
          <w:p w14:paraId="5A23165C">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0A2C21D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1CE59F4A">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337CD1F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5A794C4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2B4EBD2F">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383772D0">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557BDF62">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188393AD">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79CF42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72FC4A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05A66469">
        <w:tblPrEx>
          <w:tblCellMar>
            <w:top w:w="0" w:type="dxa"/>
            <w:left w:w="108" w:type="dxa"/>
            <w:bottom w:w="0" w:type="dxa"/>
            <w:right w:w="108" w:type="dxa"/>
          </w:tblCellMar>
        </w:tblPrEx>
        <w:trPr>
          <w:gridAfter w:val="1"/>
          <w:wAfter w:w="317" w:type="dxa"/>
          <w:trHeight w:val="1074"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47363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5DCA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6BEE31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本项目以报下浮率的方式，报价人须综合考虑各类费用。本函请于2025年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月3日17点前送达邮箱，邮箱地址：323431302@qq.com。</w:t>
            </w:r>
          </w:p>
        </w:tc>
      </w:tr>
      <w:tr w14:paraId="38E462D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E88358">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675F5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vAlign w:val="center"/>
          </w:tcPr>
          <w:p w14:paraId="07F20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3DE7F93">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EE5554C">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B97F2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07AC11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0EB5183">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E4A7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761984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vAlign w:val="center"/>
          </w:tcPr>
          <w:p w14:paraId="0E7ED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4C1D73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A424CE">
        <w:tblPrEx>
          <w:tblCellMar>
            <w:top w:w="0" w:type="dxa"/>
            <w:left w:w="108" w:type="dxa"/>
            <w:bottom w:w="0" w:type="dxa"/>
            <w:right w:w="108" w:type="dxa"/>
          </w:tblCellMar>
        </w:tblPrEx>
        <w:trPr>
          <w:trHeight w:val="545" w:hRule="atLeast"/>
          <w:jc w:val="center"/>
        </w:trPr>
        <w:tc>
          <w:tcPr>
            <w:tcW w:w="1273" w:type="dxa"/>
            <w:vAlign w:val="center"/>
          </w:tcPr>
          <w:p w14:paraId="3DD64450">
            <w:pPr>
              <w:widowControl/>
              <w:jc w:val="left"/>
              <w:rPr>
                <w:rFonts w:ascii="Times New Roman" w:hAnsi="Times New Roman" w:eastAsia="Times New Roman" w:cs="Times New Roman"/>
                <w:kern w:val="0"/>
                <w:sz w:val="24"/>
                <w:szCs w:val="24"/>
              </w:rPr>
            </w:pPr>
          </w:p>
        </w:tc>
        <w:tc>
          <w:tcPr>
            <w:tcW w:w="1988" w:type="dxa"/>
            <w:vAlign w:val="center"/>
          </w:tcPr>
          <w:p w14:paraId="7CFF03D2">
            <w:pPr>
              <w:widowControl/>
              <w:jc w:val="left"/>
              <w:rPr>
                <w:rFonts w:ascii="Times New Roman" w:hAnsi="Times New Roman" w:eastAsia="Times New Roman" w:cs="Times New Roman"/>
                <w:kern w:val="0"/>
                <w:sz w:val="24"/>
                <w:szCs w:val="24"/>
              </w:rPr>
            </w:pPr>
          </w:p>
        </w:tc>
        <w:tc>
          <w:tcPr>
            <w:tcW w:w="236" w:type="dxa"/>
            <w:vAlign w:val="center"/>
          </w:tcPr>
          <w:p w14:paraId="4C4498D3">
            <w:pPr>
              <w:widowControl/>
              <w:jc w:val="left"/>
              <w:rPr>
                <w:rFonts w:ascii="Times New Roman" w:hAnsi="Times New Roman" w:eastAsia="Times New Roman" w:cs="Times New Roman"/>
                <w:kern w:val="0"/>
                <w:sz w:val="24"/>
                <w:szCs w:val="24"/>
              </w:rPr>
            </w:pPr>
          </w:p>
        </w:tc>
        <w:tc>
          <w:tcPr>
            <w:tcW w:w="2113" w:type="dxa"/>
            <w:gridSpan w:val="2"/>
            <w:vAlign w:val="center"/>
          </w:tcPr>
          <w:p w14:paraId="42ECFDA2">
            <w:pPr>
              <w:widowControl/>
              <w:jc w:val="left"/>
              <w:rPr>
                <w:rFonts w:ascii="Times New Roman" w:hAnsi="Times New Roman" w:cs="Times New Roman"/>
                <w:kern w:val="0"/>
                <w:sz w:val="24"/>
                <w:szCs w:val="24"/>
              </w:rPr>
            </w:pPr>
          </w:p>
        </w:tc>
        <w:tc>
          <w:tcPr>
            <w:tcW w:w="4681" w:type="dxa"/>
            <w:gridSpan w:val="2"/>
            <w:vAlign w:val="center"/>
          </w:tcPr>
          <w:p w14:paraId="788A03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29C3BAF5">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0C725B7A">
        <w:tblPrEx>
          <w:tblCellMar>
            <w:top w:w="0" w:type="dxa"/>
            <w:left w:w="108" w:type="dxa"/>
            <w:bottom w:w="0" w:type="dxa"/>
            <w:right w:w="108" w:type="dxa"/>
          </w:tblCellMar>
        </w:tblPrEx>
        <w:trPr>
          <w:trHeight w:val="255" w:hRule="atLeast"/>
          <w:jc w:val="center"/>
        </w:trPr>
        <w:tc>
          <w:tcPr>
            <w:tcW w:w="1273" w:type="dxa"/>
            <w:vAlign w:val="center"/>
          </w:tcPr>
          <w:p w14:paraId="7EB0B890">
            <w:pPr>
              <w:widowControl/>
              <w:jc w:val="left"/>
              <w:rPr>
                <w:rFonts w:ascii="Times New Roman" w:hAnsi="Times New Roman" w:eastAsia="Times New Roman" w:cs="Times New Roman"/>
                <w:kern w:val="0"/>
                <w:sz w:val="24"/>
                <w:szCs w:val="24"/>
              </w:rPr>
            </w:pPr>
          </w:p>
        </w:tc>
        <w:tc>
          <w:tcPr>
            <w:tcW w:w="1988" w:type="dxa"/>
            <w:vAlign w:val="center"/>
          </w:tcPr>
          <w:p w14:paraId="35BA6475">
            <w:pPr>
              <w:widowControl/>
              <w:jc w:val="left"/>
              <w:rPr>
                <w:rFonts w:ascii="Times New Roman" w:hAnsi="Times New Roman" w:eastAsia="Times New Roman" w:cs="Times New Roman"/>
                <w:kern w:val="0"/>
                <w:sz w:val="24"/>
                <w:szCs w:val="24"/>
              </w:rPr>
            </w:pPr>
          </w:p>
        </w:tc>
        <w:tc>
          <w:tcPr>
            <w:tcW w:w="236" w:type="dxa"/>
            <w:vAlign w:val="center"/>
          </w:tcPr>
          <w:p w14:paraId="24944127">
            <w:pPr>
              <w:widowControl/>
              <w:jc w:val="left"/>
              <w:rPr>
                <w:rFonts w:ascii="Times New Roman" w:hAnsi="Times New Roman" w:eastAsia="Times New Roman" w:cs="Times New Roman"/>
                <w:kern w:val="0"/>
                <w:sz w:val="24"/>
                <w:szCs w:val="24"/>
              </w:rPr>
            </w:pPr>
          </w:p>
        </w:tc>
        <w:tc>
          <w:tcPr>
            <w:tcW w:w="2113" w:type="dxa"/>
            <w:gridSpan w:val="2"/>
            <w:vAlign w:val="center"/>
          </w:tcPr>
          <w:p w14:paraId="76E543D4">
            <w:pPr>
              <w:widowControl/>
              <w:jc w:val="left"/>
              <w:rPr>
                <w:rFonts w:ascii="Times New Roman" w:hAnsi="Times New Roman" w:cs="Times New Roman"/>
                <w:kern w:val="0"/>
                <w:sz w:val="24"/>
                <w:szCs w:val="24"/>
              </w:rPr>
            </w:pPr>
          </w:p>
          <w:p w14:paraId="13B0DCB4">
            <w:pPr>
              <w:widowControl/>
              <w:jc w:val="left"/>
              <w:rPr>
                <w:rFonts w:ascii="Times New Roman" w:hAnsi="Times New Roman" w:cs="Times New Roman"/>
                <w:kern w:val="0"/>
                <w:sz w:val="24"/>
                <w:szCs w:val="24"/>
              </w:rPr>
            </w:pPr>
          </w:p>
          <w:p w14:paraId="1DA08330">
            <w:pPr>
              <w:widowControl/>
              <w:jc w:val="left"/>
              <w:rPr>
                <w:rFonts w:ascii="Times New Roman" w:hAnsi="Times New Roman" w:cs="Times New Roman"/>
                <w:kern w:val="0"/>
                <w:sz w:val="24"/>
                <w:szCs w:val="24"/>
              </w:rPr>
            </w:pPr>
          </w:p>
          <w:p w14:paraId="6F6A88A9">
            <w:pPr>
              <w:widowControl/>
              <w:jc w:val="left"/>
              <w:rPr>
                <w:rFonts w:ascii="Times New Roman" w:hAnsi="Times New Roman" w:cs="Times New Roman"/>
                <w:kern w:val="0"/>
                <w:sz w:val="24"/>
                <w:szCs w:val="24"/>
              </w:rPr>
            </w:pPr>
          </w:p>
        </w:tc>
        <w:tc>
          <w:tcPr>
            <w:tcW w:w="4681" w:type="dxa"/>
            <w:gridSpan w:val="2"/>
            <w:vAlign w:val="center"/>
          </w:tcPr>
          <w:p w14:paraId="58202FC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638425E9">
      <w:pPr>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附件2：综合评分表</w:t>
      </w:r>
    </w:p>
    <w:tbl>
      <w:tblPr>
        <w:tblStyle w:val="7"/>
        <w:tblW w:w="8196"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78E96DB7">
        <w:tblPrEx>
          <w:tblCellMar>
            <w:top w:w="0" w:type="dxa"/>
            <w:left w:w="108" w:type="dxa"/>
            <w:bottom w:w="0" w:type="dxa"/>
            <w:right w:w="108" w:type="dxa"/>
          </w:tblCellMar>
        </w:tblPrEx>
        <w:trPr>
          <w:gridAfter w:val="1"/>
          <w:wAfter w:w="36" w:type="dxa"/>
          <w:trHeight w:val="510" w:hRule="atLeast"/>
        </w:trPr>
        <w:tc>
          <w:tcPr>
            <w:tcW w:w="1580" w:type="dxa"/>
            <w:gridSpan w:val="2"/>
            <w:tcBorders>
              <w:top w:val="nil"/>
              <w:left w:val="nil"/>
              <w:bottom w:val="nil"/>
              <w:right w:val="nil"/>
            </w:tcBorders>
            <w:noWrap/>
            <w:vAlign w:val="center"/>
          </w:tcPr>
          <w:p w14:paraId="08D5E7B2">
            <w:pPr>
              <w:widowControl/>
              <w:jc w:val="left"/>
              <w:rPr>
                <w:rFonts w:hint="eastAsia" w:ascii="仿宋" w:hAnsi="仿宋" w:eastAsia="仿宋" w:cs="宋体"/>
                <w:b/>
                <w:bCs/>
                <w:color w:val="000000"/>
                <w:kern w:val="0"/>
                <w:sz w:val="24"/>
                <w:szCs w:val="24"/>
              </w:rPr>
            </w:pPr>
          </w:p>
        </w:tc>
        <w:tc>
          <w:tcPr>
            <w:tcW w:w="6580" w:type="dxa"/>
            <w:gridSpan w:val="3"/>
            <w:tcBorders>
              <w:top w:val="nil"/>
              <w:left w:val="nil"/>
              <w:bottom w:val="nil"/>
              <w:right w:val="nil"/>
            </w:tcBorders>
            <w:noWrap/>
            <w:vAlign w:val="center"/>
          </w:tcPr>
          <w:p w14:paraId="41AAAEB9">
            <w:pPr>
              <w:widowControl/>
              <w:jc w:val="left"/>
              <w:rPr>
                <w:rFonts w:hint="eastAsia" w:ascii="仿宋" w:hAnsi="仿宋" w:eastAsia="仿宋" w:cs="宋体"/>
                <w:b/>
                <w:bCs/>
                <w:color w:val="000000"/>
                <w:kern w:val="0"/>
                <w:sz w:val="22"/>
              </w:rPr>
            </w:pPr>
          </w:p>
        </w:tc>
      </w:tr>
      <w:tr w14:paraId="3B5FC378">
        <w:tblPrEx>
          <w:tblCellMar>
            <w:top w:w="0" w:type="dxa"/>
            <w:left w:w="108" w:type="dxa"/>
            <w:bottom w:w="0" w:type="dxa"/>
            <w:right w:w="108" w:type="dxa"/>
          </w:tblCellMar>
        </w:tblPrEx>
        <w:trPr>
          <w:gridAfter w:val="1"/>
          <w:wAfter w:w="36" w:type="dxa"/>
          <w:trHeight w:val="843" w:hRule="atLeast"/>
        </w:trPr>
        <w:tc>
          <w:tcPr>
            <w:tcW w:w="8160" w:type="dxa"/>
            <w:gridSpan w:val="5"/>
            <w:tcBorders>
              <w:top w:val="single" w:color="auto" w:sz="4" w:space="0"/>
              <w:left w:val="single" w:color="auto" w:sz="4" w:space="0"/>
              <w:bottom w:val="single" w:color="auto" w:sz="4" w:space="0"/>
              <w:right w:val="single" w:color="auto" w:sz="4" w:space="0"/>
            </w:tcBorders>
            <w:vAlign w:val="center"/>
          </w:tcPr>
          <w:p w14:paraId="4D4FBDA9">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综合评分表</w:t>
            </w:r>
          </w:p>
        </w:tc>
      </w:tr>
      <w:tr w14:paraId="32E62BE3">
        <w:tblPrEx>
          <w:tblCellMar>
            <w:top w:w="0" w:type="dxa"/>
            <w:left w:w="108" w:type="dxa"/>
            <w:bottom w:w="0" w:type="dxa"/>
            <w:right w:w="108" w:type="dxa"/>
          </w:tblCellMar>
        </w:tblPrEx>
        <w:trPr>
          <w:gridAfter w:val="1"/>
          <w:wAfter w:w="36" w:type="dxa"/>
          <w:trHeight w:val="741" w:hRule="atLeast"/>
        </w:trPr>
        <w:tc>
          <w:tcPr>
            <w:tcW w:w="512" w:type="dxa"/>
            <w:vMerge w:val="restart"/>
            <w:tcBorders>
              <w:top w:val="nil"/>
              <w:left w:val="single" w:color="auto" w:sz="4" w:space="0"/>
              <w:bottom w:val="single" w:color="auto" w:sz="4" w:space="0"/>
              <w:right w:val="single" w:color="auto" w:sz="4" w:space="0"/>
            </w:tcBorders>
            <w:noWrap/>
            <w:vAlign w:val="center"/>
          </w:tcPr>
          <w:p w14:paraId="270D9F2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vAlign w:val="center"/>
          </w:tcPr>
          <w:p w14:paraId="52408DD9">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vAlign w:val="center"/>
          </w:tcPr>
          <w:p w14:paraId="5D07875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noWrap/>
            <w:vAlign w:val="center"/>
          </w:tcPr>
          <w:p w14:paraId="71BB3F3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vAlign w:val="center"/>
          </w:tcPr>
          <w:p w14:paraId="011C8EFD">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08D0C5CC">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30DC19AB">
            <w:pPr>
              <w:widowControl/>
              <w:jc w:val="left"/>
              <w:rPr>
                <w:rFonts w:hint="eastAsia"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2803D3FB">
            <w:pPr>
              <w:widowControl/>
              <w:jc w:val="left"/>
              <w:rPr>
                <w:rFonts w:hint="eastAsia"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1D429B6E">
            <w:pPr>
              <w:widowControl/>
              <w:jc w:val="left"/>
              <w:rPr>
                <w:rFonts w:hint="eastAsia"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43F67FB1">
            <w:pPr>
              <w:widowControl/>
              <w:jc w:val="left"/>
              <w:rPr>
                <w:rFonts w:hint="eastAsia"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6F357120">
            <w:pPr>
              <w:widowControl/>
              <w:jc w:val="left"/>
              <w:rPr>
                <w:rFonts w:hint="eastAsia" w:ascii="仿宋" w:hAnsi="仿宋" w:eastAsia="仿宋" w:cs="宋体"/>
                <w:b/>
                <w:bCs/>
                <w:color w:val="000000"/>
                <w:kern w:val="0"/>
                <w:sz w:val="24"/>
                <w:szCs w:val="24"/>
              </w:rPr>
            </w:pPr>
          </w:p>
        </w:tc>
        <w:tc>
          <w:tcPr>
            <w:tcW w:w="36" w:type="dxa"/>
            <w:tcBorders>
              <w:top w:val="nil"/>
              <w:left w:val="nil"/>
              <w:bottom w:val="nil"/>
              <w:right w:val="nil"/>
            </w:tcBorders>
            <w:noWrap/>
            <w:vAlign w:val="bottom"/>
          </w:tcPr>
          <w:p w14:paraId="276C1377">
            <w:pPr>
              <w:widowControl/>
              <w:jc w:val="center"/>
              <w:rPr>
                <w:rFonts w:hint="eastAsia" w:ascii="仿宋" w:hAnsi="仿宋" w:eastAsia="仿宋" w:cs="宋体"/>
                <w:b/>
                <w:bCs/>
                <w:color w:val="000000"/>
                <w:kern w:val="0"/>
                <w:sz w:val="24"/>
                <w:szCs w:val="24"/>
              </w:rPr>
            </w:pPr>
          </w:p>
        </w:tc>
      </w:tr>
      <w:tr w14:paraId="3C47FA89">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noWrap/>
            <w:vAlign w:val="center"/>
          </w:tcPr>
          <w:p w14:paraId="27A04A7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vAlign w:val="center"/>
          </w:tcPr>
          <w:p w14:paraId="2747E70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vAlign w:val="center"/>
          </w:tcPr>
          <w:p w14:paraId="6B90D1E3">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noWrap/>
            <w:vAlign w:val="center"/>
          </w:tcPr>
          <w:p w14:paraId="3535C20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vAlign w:val="center"/>
          </w:tcPr>
          <w:p w14:paraId="015B975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w:t>
            </w:r>
            <w:r>
              <w:rPr>
                <w:rFonts w:hint="eastAsia" w:ascii="仿宋" w:hAnsi="仿宋" w:eastAsia="仿宋" w:cs="宋体"/>
                <w:color w:val="000000"/>
                <w:kern w:val="0"/>
                <w:sz w:val="24"/>
                <w:szCs w:val="24"/>
                <w:lang w:val="en-US" w:eastAsia="zh-CN"/>
              </w:rPr>
              <w:t>4</w:t>
            </w:r>
            <w:r>
              <w:rPr>
                <w:rFonts w:hint="eastAsia" w:ascii="仿宋" w:hAnsi="仿宋" w:eastAsia="仿宋" w:cs="宋体"/>
                <w:color w:val="000000"/>
                <w:kern w:val="0"/>
                <w:sz w:val="24"/>
                <w:szCs w:val="24"/>
              </w:rPr>
              <w:t>年1月1日起，完成过类似</w:t>
            </w:r>
            <w:r>
              <w:rPr>
                <w:rFonts w:hint="eastAsia" w:ascii="仿宋" w:hAnsi="仿宋" w:eastAsia="仿宋" w:cs="宋体"/>
                <w:color w:val="000000"/>
                <w:kern w:val="0"/>
                <w:sz w:val="24"/>
                <w:szCs w:val="24"/>
                <w:lang w:val="en-US" w:eastAsia="zh-CN"/>
              </w:rPr>
              <w:t>投资运营、工程项目等</w:t>
            </w:r>
            <w:r>
              <w:rPr>
                <w:rFonts w:hint="eastAsia" w:ascii="仿宋" w:hAnsi="仿宋" w:eastAsia="仿宋" w:cs="宋体"/>
                <w:color w:val="000000"/>
                <w:kern w:val="0"/>
                <w:sz w:val="24"/>
                <w:szCs w:val="24"/>
              </w:rPr>
              <w:t>代理业务的，得15分。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（提供类似项目招标（采购）公告截图，代理合同复印件，不提供不得分）</w:t>
            </w:r>
          </w:p>
        </w:tc>
        <w:tc>
          <w:tcPr>
            <w:tcW w:w="36" w:type="dxa"/>
            <w:vAlign w:val="center"/>
          </w:tcPr>
          <w:p w14:paraId="2091189E">
            <w:pPr>
              <w:widowControl/>
              <w:jc w:val="left"/>
              <w:rPr>
                <w:rFonts w:ascii="Times New Roman" w:hAnsi="Times New Roman" w:eastAsia="Times New Roman" w:cs="Times New Roman"/>
                <w:kern w:val="0"/>
                <w:sz w:val="20"/>
                <w:szCs w:val="20"/>
              </w:rPr>
            </w:pPr>
          </w:p>
        </w:tc>
      </w:tr>
      <w:tr w14:paraId="424DB024">
        <w:tblPrEx>
          <w:tblCellMar>
            <w:top w:w="0" w:type="dxa"/>
            <w:left w:w="108" w:type="dxa"/>
            <w:bottom w:w="0" w:type="dxa"/>
            <w:right w:w="108" w:type="dxa"/>
          </w:tblCellMar>
        </w:tblPrEx>
        <w:trPr>
          <w:trHeight w:val="943" w:hRule="atLeast"/>
        </w:trPr>
        <w:tc>
          <w:tcPr>
            <w:tcW w:w="512" w:type="dxa"/>
            <w:tcBorders>
              <w:top w:val="nil"/>
              <w:left w:val="single" w:color="auto" w:sz="4" w:space="0"/>
              <w:bottom w:val="single" w:color="auto" w:sz="4" w:space="0"/>
              <w:right w:val="single" w:color="auto" w:sz="4" w:space="0"/>
            </w:tcBorders>
            <w:noWrap/>
            <w:vAlign w:val="center"/>
          </w:tcPr>
          <w:p w14:paraId="3E4A016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23CEDDD3">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vAlign w:val="center"/>
          </w:tcPr>
          <w:p w14:paraId="158A1799">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noWrap/>
            <w:vAlign w:val="center"/>
          </w:tcPr>
          <w:p w14:paraId="197251E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vAlign w:val="center"/>
          </w:tcPr>
          <w:p w14:paraId="21BD98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36" w:type="dxa"/>
            <w:vAlign w:val="center"/>
          </w:tcPr>
          <w:p w14:paraId="0F146629">
            <w:pPr>
              <w:widowControl/>
              <w:jc w:val="left"/>
              <w:rPr>
                <w:rFonts w:ascii="Times New Roman" w:hAnsi="Times New Roman" w:eastAsia="Times New Roman" w:cs="Times New Roman"/>
                <w:kern w:val="0"/>
                <w:sz w:val="20"/>
                <w:szCs w:val="20"/>
              </w:rPr>
            </w:pPr>
          </w:p>
        </w:tc>
      </w:tr>
      <w:tr w14:paraId="1AE34C66">
        <w:tblPrEx>
          <w:tblCellMar>
            <w:top w:w="0" w:type="dxa"/>
            <w:left w:w="108" w:type="dxa"/>
            <w:bottom w:w="0" w:type="dxa"/>
            <w:right w:w="108" w:type="dxa"/>
          </w:tblCellMar>
        </w:tblPrEx>
        <w:trPr>
          <w:trHeight w:val="1073" w:hRule="atLeast"/>
        </w:trPr>
        <w:tc>
          <w:tcPr>
            <w:tcW w:w="512" w:type="dxa"/>
            <w:tcBorders>
              <w:top w:val="nil"/>
              <w:left w:val="single" w:color="auto" w:sz="4" w:space="0"/>
              <w:bottom w:val="single" w:color="auto" w:sz="4" w:space="0"/>
              <w:right w:val="single" w:color="auto" w:sz="4" w:space="0"/>
            </w:tcBorders>
            <w:noWrap/>
            <w:vAlign w:val="center"/>
          </w:tcPr>
          <w:p w14:paraId="7870A922">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71335CFC">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vAlign w:val="center"/>
          </w:tcPr>
          <w:p w14:paraId="16D8A30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noWrap/>
            <w:vAlign w:val="center"/>
          </w:tcPr>
          <w:p w14:paraId="77E41B8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vAlign w:val="center"/>
          </w:tcPr>
          <w:p w14:paraId="32A9250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36" w:type="dxa"/>
            <w:vAlign w:val="center"/>
          </w:tcPr>
          <w:p w14:paraId="1E3DAFB4">
            <w:pPr>
              <w:widowControl/>
              <w:jc w:val="left"/>
              <w:rPr>
                <w:rFonts w:ascii="Times New Roman" w:hAnsi="Times New Roman" w:eastAsia="Times New Roman" w:cs="Times New Roman"/>
                <w:kern w:val="0"/>
                <w:sz w:val="20"/>
                <w:szCs w:val="20"/>
              </w:rPr>
            </w:pPr>
          </w:p>
        </w:tc>
      </w:tr>
      <w:tr w14:paraId="7E1B7266">
        <w:tblPrEx>
          <w:tblCellMar>
            <w:top w:w="0" w:type="dxa"/>
            <w:left w:w="108" w:type="dxa"/>
            <w:bottom w:w="0" w:type="dxa"/>
            <w:right w:w="108" w:type="dxa"/>
          </w:tblCellMar>
        </w:tblPrEx>
        <w:trPr>
          <w:trHeight w:val="1953" w:hRule="atLeast"/>
        </w:trPr>
        <w:tc>
          <w:tcPr>
            <w:tcW w:w="512" w:type="dxa"/>
            <w:tcBorders>
              <w:top w:val="nil"/>
              <w:left w:val="single" w:color="auto" w:sz="4" w:space="0"/>
              <w:bottom w:val="single" w:color="auto" w:sz="4" w:space="0"/>
              <w:right w:val="single" w:color="auto" w:sz="4" w:space="0"/>
            </w:tcBorders>
            <w:noWrap/>
            <w:vAlign w:val="center"/>
          </w:tcPr>
          <w:p w14:paraId="7784F40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769FE1F2">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vAlign w:val="center"/>
          </w:tcPr>
          <w:p w14:paraId="622DF58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noWrap/>
            <w:vAlign w:val="center"/>
          </w:tcPr>
          <w:p w14:paraId="4B21545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vAlign w:val="center"/>
          </w:tcPr>
          <w:p w14:paraId="6A63E59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投标人在茂名市区域内注册或设有分支机构（或子公司）的，且办公场地200平方米及以上的得10分，办公场地100平方米-200平方米（不含）的的5分。办公场地不到100平方米的不得分。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36" w:type="dxa"/>
            <w:vAlign w:val="center"/>
          </w:tcPr>
          <w:p w14:paraId="6D98D423">
            <w:pPr>
              <w:widowControl/>
              <w:jc w:val="left"/>
              <w:rPr>
                <w:rFonts w:ascii="Times New Roman" w:hAnsi="Times New Roman" w:eastAsia="Times New Roman" w:cs="Times New Roman"/>
                <w:kern w:val="0"/>
                <w:sz w:val="20"/>
                <w:szCs w:val="20"/>
              </w:rPr>
            </w:pPr>
          </w:p>
        </w:tc>
      </w:tr>
      <w:tr w14:paraId="15B32BD5">
        <w:tblPrEx>
          <w:tblCellMar>
            <w:top w:w="0" w:type="dxa"/>
            <w:left w:w="108" w:type="dxa"/>
            <w:bottom w:w="0" w:type="dxa"/>
            <w:right w:w="108" w:type="dxa"/>
          </w:tblCellMar>
        </w:tblPrEx>
        <w:trPr>
          <w:trHeight w:val="1305" w:hRule="atLeast"/>
        </w:trPr>
        <w:tc>
          <w:tcPr>
            <w:tcW w:w="512" w:type="dxa"/>
            <w:tcBorders>
              <w:top w:val="nil"/>
              <w:left w:val="single" w:color="auto" w:sz="4" w:space="0"/>
              <w:bottom w:val="nil"/>
              <w:right w:val="nil"/>
            </w:tcBorders>
            <w:noWrap/>
            <w:vAlign w:val="center"/>
          </w:tcPr>
          <w:p w14:paraId="0511805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vAlign w:val="center"/>
          </w:tcPr>
          <w:p w14:paraId="37158B6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vAlign w:val="center"/>
          </w:tcPr>
          <w:p w14:paraId="0723C73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noWrap/>
            <w:vAlign w:val="center"/>
          </w:tcPr>
          <w:p w14:paraId="5EE05A5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vAlign w:val="center"/>
          </w:tcPr>
          <w:p w14:paraId="659BA9A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36" w:type="dxa"/>
            <w:vAlign w:val="center"/>
          </w:tcPr>
          <w:p w14:paraId="0C54ADD8">
            <w:pPr>
              <w:widowControl/>
              <w:jc w:val="left"/>
              <w:rPr>
                <w:rFonts w:ascii="Times New Roman" w:hAnsi="Times New Roman" w:eastAsia="Times New Roman" w:cs="Times New Roman"/>
                <w:kern w:val="0"/>
                <w:sz w:val="20"/>
                <w:szCs w:val="20"/>
              </w:rPr>
            </w:pPr>
          </w:p>
        </w:tc>
      </w:tr>
      <w:tr w14:paraId="19D7A62B">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noWrap/>
            <w:vAlign w:val="center"/>
          </w:tcPr>
          <w:p w14:paraId="7F33882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vAlign w:val="center"/>
          </w:tcPr>
          <w:p w14:paraId="6C5EFF9B">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vAlign w:val="center"/>
          </w:tcPr>
          <w:p w14:paraId="24187CC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noWrap/>
            <w:vAlign w:val="center"/>
          </w:tcPr>
          <w:p w14:paraId="196AFA6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vAlign w:val="center"/>
          </w:tcPr>
          <w:p w14:paraId="014AB90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投标报价得分＝（报价下浮率/评标基准价）×30【注：满足遴选公告要求且报价下浮率最高的投标报价为评标基准价，评标基准价最高下浮率为50%。】（最高得30分）</w:t>
            </w:r>
          </w:p>
        </w:tc>
        <w:tc>
          <w:tcPr>
            <w:tcW w:w="36" w:type="dxa"/>
            <w:vAlign w:val="center"/>
          </w:tcPr>
          <w:p w14:paraId="5B23F1A8">
            <w:pPr>
              <w:widowControl/>
              <w:jc w:val="left"/>
              <w:rPr>
                <w:rFonts w:ascii="Times New Roman" w:hAnsi="Times New Roman" w:eastAsia="Times New Roman" w:cs="Times New Roman"/>
                <w:kern w:val="0"/>
                <w:sz w:val="20"/>
                <w:szCs w:val="20"/>
              </w:rPr>
            </w:pPr>
          </w:p>
        </w:tc>
      </w:tr>
      <w:tr w14:paraId="0EE85655">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noWrap/>
            <w:vAlign w:val="center"/>
          </w:tcPr>
          <w:p w14:paraId="3793B7D6">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noWrap/>
            <w:vAlign w:val="center"/>
          </w:tcPr>
          <w:p w14:paraId="4D7F860A">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vAlign w:val="center"/>
          </w:tcPr>
          <w:p w14:paraId="40E9AA9F">
            <w:pPr>
              <w:widowControl/>
              <w:jc w:val="center"/>
              <w:rPr>
                <w:rFonts w:hint="eastAsia" w:ascii="宋体" w:hAnsi="宋体" w:eastAsia="宋体" w:cs="宋体"/>
                <w:color w:val="000000"/>
                <w:kern w:val="0"/>
                <w:sz w:val="22"/>
              </w:rPr>
            </w:pPr>
          </w:p>
        </w:tc>
        <w:tc>
          <w:tcPr>
            <w:tcW w:w="36" w:type="dxa"/>
            <w:vAlign w:val="center"/>
          </w:tcPr>
          <w:p w14:paraId="62CA1D22">
            <w:pPr>
              <w:widowControl/>
              <w:jc w:val="left"/>
              <w:rPr>
                <w:rFonts w:ascii="Times New Roman" w:hAnsi="Times New Roman" w:eastAsia="Times New Roman" w:cs="Times New Roman"/>
                <w:kern w:val="0"/>
                <w:sz w:val="20"/>
                <w:szCs w:val="20"/>
              </w:rPr>
            </w:pPr>
          </w:p>
        </w:tc>
      </w:tr>
    </w:tbl>
    <w:p w14:paraId="0C9C652D">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g4NDVhZGM3NjI5YjcxNDBlNzdkY2JmZjU2YzQifQ=="/>
    <w:docVar w:name="KSO_WPS_MARK_KEY" w:val="285506ff-b6ec-4674-befd-368c638f5838"/>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0EF"/>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135A4"/>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91C"/>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0013"/>
    <w:rsid w:val="008A4361"/>
    <w:rsid w:val="008C4520"/>
    <w:rsid w:val="008C5595"/>
    <w:rsid w:val="008C6FF8"/>
    <w:rsid w:val="009102F6"/>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8414F"/>
    <w:rsid w:val="00B930DB"/>
    <w:rsid w:val="00BA78AE"/>
    <w:rsid w:val="00BB5495"/>
    <w:rsid w:val="00BD7463"/>
    <w:rsid w:val="00BE17AB"/>
    <w:rsid w:val="00BF4A41"/>
    <w:rsid w:val="00C02E24"/>
    <w:rsid w:val="00C1052A"/>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D4A25"/>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1B14C06"/>
    <w:rsid w:val="02CF46F5"/>
    <w:rsid w:val="03183C56"/>
    <w:rsid w:val="035C6B10"/>
    <w:rsid w:val="040251CE"/>
    <w:rsid w:val="058A586A"/>
    <w:rsid w:val="05A65C89"/>
    <w:rsid w:val="081163FE"/>
    <w:rsid w:val="0A327637"/>
    <w:rsid w:val="0AE57A34"/>
    <w:rsid w:val="0B4D66D9"/>
    <w:rsid w:val="0C15158B"/>
    <w:rsid w:val="0E8F4289"/>
    <w:rsid w:val="0EBE51B5"/>
    <w:rsid w:val="0F24325F"/>
    <w:rsid w:val="138767C9"/>
    <w:rsid w:val="15851796"/>
    <w:rsid w:val="1680360B"/>
    <w:rsid w:val="18CC6771"/>
    <w:rsid w:val="1AB01BE3"/>
    <w:rsid w:val="1B024A1B"/>
    <w:rsid w:val="1B045F0B"/>
    <w:rsid w:val="1CE77425"/>
    <w:rsid w:val="1D5C2A5E"/>
    <w:rsid w:val="1DA87FC7"/>
    <w:rsid w:val="1E054C4F"/>
    <w:rsid w:val="1E150B68"/>
    <w:rsid w:val="1F335508"/>
    <w:rsid w:val="1F5938E5"/>
    <w:rsid w:val="1F690BB8"/>
    <w:rsid w:val="214C6115"/>
    <w:rsid w:val="23E0311F"/>
    <w:rsid w:val="25526809"/>
    <w:rsid w:val="25CC2EEE"/>
    <w:rsid w:val="278F0046"/>
    <w:rsid w:val="297F546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E5D55C6"/>
    <w:rsid w:val="3FBB7EA0"/>
    <w:rsid w:val="410424AE"/>
    <w:rsid w:val="41E76C04"/>
    <w:rsid w:val="433A7208"/>
    <w:rsid w:val="43AA224B"/>
    <w:rsid w:val="468C46BC"/>
    <w:rsid w:val="4A6B06F9"/>
    <w:rsid w:val="4AFB2C10"/>
    <w:rsid w:val="4C4709E2"/>
    <w:rsid w:val="4D66553A"/>
    <w:rsid w:val="4DBD6EEB"/>
    <w:rsid w:val="4F702F33"/>
    <w:rsid w:val="52730AE9"/>
    <w:rsid w:val="52D0653F"/>
    <w:rsid w:val="569A59E8"/>
    <w:rsid w:val="56E64DE2"/>
    <w:rsid w:val="58893220"/>
    <w:rsid w:val="5903698A"/>
    <w:rsid w:val="59E34532"/>
    <w:rsid w:val="5A9151A8"/>
    <w:rsid w:val="5BB26726"/>
    <w:rsid w:val="60291AE5"/>
    <w:rsid w:val="605D6E26"/>
    <w:rsid w:val="61601DAF"/>
    <w:rsid w:val="638A3118"/>
    <w:rsid w:val="63F0603D"/>
    <w:rsid w:val="641A130C"/>
    <w:rsid w:val="653611F1"/>
    <w:rsid w:val="654042C5"/>
    <w:rsid w:val="67EF5014"/>
    <w:rsid w:val="6AD4308D"/>
    <w:rsid w:val="6E1B6F75"/>
    <w:rsid w:val="6E421B8B"/>
    <w:rsid w:val="6ED91E9B"/>
    <w:rsid w:val="707E3A64"/>
    <w:rsid w:val="723009CF"/>
    <w:rsid w:val="72F23F46"/>
    <w:rsid w:val="741D7F6F"/>
    <w:rsid w:val="74AF45EE"/>
    <w:rsid w:val="755B7BD7"/>
    <w:rsid w:val="75DA1EAA"/>
    <w:rsid w:val="7A1E2086"/>
    <w:rsid w:val="7C83325F"/>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val="0"/>
      <w:spacing w:before="0" w:after="0" w:line="600" w:lineRule="exact"/>
      <w:ind w:left="200" w:leftChars="200" w:right="0"/>
      <w:jc w:val="both"/>
    </w:pPr>
    <w:rPr>
      <w:rFonts w:ascii="Times New Roman" w:hAnsi="Times New Roman" w:eastAsia="宋体" w:cs="Droid Sans"/>
      <w:kern w:val="2"/>
      <w:sz w:val="32"/>
      <w:szCs w:val="24"/>
      <w:lang w:val="en-US" w:eastAsia="zh-CN" w:bidi="ar-SA"/>
    </w:rPr>
  </w:style>
  <w:style w:type="paragraph" w:styleId="4">
    <w:name w:val="Body Text"/>
    <w:basedOn w:val="1"/>
    <w:next w:val="1"/>
    <w:uiPriority w:val="0"/>
    <w:pPr>
      <w:spacing w:after="120"/>
    </w:pPr>
    <w:rPr>
      <w:rFonts w:ascii="Times New Roman" w:hAnsi="Times New Roman" w:eastAsia="宋体" w:cs="Times New Roma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未处理的提及1"/>
    <w:basedOn w:val="8"/>
    <w:semiHidden/>
    <w:unhideWhenUsed/>
    <w:qFormat/>
    <w:uiPriority w:val="99"/>
    <w:rPr>
      <w:color w:val="605E5C"/>
      <w:shd w:val="clear" w:color="auto" w:fill="E1DFDD"/>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1528</Words>
  <Characters>1667</Characters>
  <Lines>124</Lines>
  <Paragraphs>88</Paragraphs>
  <TotalTime>0</TotalTime>
  <ScaleCrop>false</ScaleCrop>
  <LinksUpToDate>false</LinksUpToDate>
  <CharactersWithSpaces>1727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Zed丶Leblanc</cp:lastModifiedBy>
  <dcterms:modified xsi:type="dcterms:W3CDTF">2026-04-01T02:34:02Z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CF9E76B3E8B342608CEDA583948D6502_13</vt:lpwstr>
  </property>
  <property fmtid="{D5CDD505-2E9C-101B-9397-08002B2CF9AE}" pid="4" name="KSOTemplateDocerSaveRecord">
    <vt:lpwstr>eyJoZGlkIjoiMTExYTI3MzBlOGY5OTExNjRmZmEwYWY4MjQ2OWE1MWEiLCJ1c2VySWQiOiIzMzU0NzM2MzMifQ==</vt:lpwstr>
  </property>
</Properties>
</file>